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Sensitivity to outliers and influential observations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148)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479)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0.766</w:t>
            </w:r>
          </w:p>
        </w:tc>
      </w:tr>
      <w:tr>
        <w:trPr>
          <w:trHeight w:val="28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2024-12-29T04:36:36Z</dcterms:modified>
  <cp:category/>
</cp:coreProperties>
</file>