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Sensitivity to outliers and influential observations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148)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479)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0.766</w:t>
            </w:r>
          </w:p>
        </w:tc>
      </w:tr>
      <w:tr>
        <w:trPr>
          <w:trHeight w:val="28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2024-08-02T04:47:46Z</dcterms:modified>
  <cp:category/>
</cp:coreProperties>
</file>