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1**. Demographics and clinical characteristics of patients on admission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287)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155)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132)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0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Demographics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characteristics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history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68.0)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64.5)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73.0)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8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Alcoholism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Dyslipidemia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</w:tr>
      <w:tr>
        <w:trPr>
          <w:trHeight w:val="29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Cerebrovascular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</w:tr>
      <w:tr>
        <w:trPr>
          <w:trHeight w:val="28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8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9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Immunesupressive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Chronic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30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Hemodialysis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28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30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Duration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3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symtoms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30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</w:tr>
      <w:tr>
        <w:trPr>
          <w:trHeight w:val="28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Sore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28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General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malaise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</w:tr>
      <w:tr>
        <w:trPr>
          <w:trHeight w:val="28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29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Anosmia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299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Dysgeusia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</w:tr>
      <w:tr>
        <w:trPr>
          <w:trHeight w:val="30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</w:tr>
      <w:tr>
        <w:trPr>
          <w:trHeight w:val="299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28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9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Abdominal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30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Weight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trHeight w:val="3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Polyuria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29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Polidipsia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30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Poliphagia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trHeight w:val="29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Sensory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Awake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Sleepy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Drowsy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Vital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</w:tr>
      <w:tr>
        <w:trPr>
          <w:trHeight w:val="28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(82.3,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2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trHeight w:val="29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28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trHeight w:val="29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</w:tr>
      <w:tr>
        <w:trPr>
          <w:trHeight w:val="28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body59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(10.1%)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(5.8%)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(15.2%)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test; Fisher's exact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2024-06-20T19:49:08Z</dcterms:modified>
  <cp:category/>
</cp:coreProperties>
</file>