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1**. Demographic and clinical characteristics of the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287)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155)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132)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0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Demographic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characteristics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clinical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history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64.5)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8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Alcoholism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Dyslipidemia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trHeight w:val="29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Cerebrovascular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8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9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Immunesupressive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Chronic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0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Hemodialysis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30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Duration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3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symtoms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30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Sore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28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General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malaise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</w:tr>
      <w:tr>
        <w:trPr>
          <w:trHeight w:val="28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29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Anosmia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299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Dysgeusia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</w:tr>
      <w:tr>
        <w:trPr>
          <w:trHeight w:val="30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</w:tr>
      <w:tr>
        <w:trPr>
          <w:trHeight w:val="299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28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9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Abdominal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30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Weight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trHeight w:val="3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Polyuria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29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Polidipsia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30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Poliphagia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trHeight w:val="29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Sensory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Awake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Sleepy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Drowsy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Vital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</w:tr>
      <w:tr>
        <w:trPr>
          <w:trHeight w:val="28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2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trHeight w:val="29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28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trHeight w:val="29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</w:tr>
      <w:tr>
        <w:trPr>
          <w:trHeight w:val="28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body59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(10.1%)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(15.2%)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test; Fisher's exact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2024-07-02T21:28:22Z</dcterms:modified>
  <cp:category/>
</cp:coreProperties>
</file>