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 and clinical characteristics of the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Alcoholism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9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Cerebrovascular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9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Immunesupressive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Chronic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Hemodialysis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0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Duration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9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trHeight w:val="3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29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Polyuria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9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Polidipsia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3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9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Sensory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Awake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Sleepy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Drowsy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29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29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8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2024-07-25T16:27:04Z</dcterms:modified>
  <cp:category/>
</cp:coreProperties>
</file>