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**Table 1**. Demographics and clinical characteristics of patients on admission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0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Demographics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characteristics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history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Age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Alcoholism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0.63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Obesity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99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Cerebrovascular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0.044</w:t>
            </w:r>
          </w:p>
        </w:tc>
      </w:tr>
      <w:tr>
        <w:trPr>
          <w:trHeight w:val="284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8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HIV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0.46</w:t>
            </w:r>
          </w:p>
        </w:tc>
      </w:tr>
      <w:tr>
        <w:trPr>
          <w:trHeight w:val="299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Immunesupressive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0.60</w:t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Chronic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0.99</w:t>
            </w:r>
          </w:p>
        </w:tc>
      </w:tr>
      <w:tr>
        <w:trPr>
          <w:trHeight w:val="30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Hemodialysis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0.69</w:t>
            </w:r>
          </w:p>
        </w:tc>
      </w:tr>
      <w:tr>
        <w:trPr>
          <w:trHeight w:val="30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Duration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of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disease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(days)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symtoms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30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cought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</w:t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Sore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throat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0.018</w:t>
            </w:r>
          </w:p>
        </w:tc>
      </w:tr>
      <w:tr>
        <w:trPr>
          <w:trHeight w:val="284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General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malaise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284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Headache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Tachypnea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9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Anosmia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299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Dysgeusia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0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Lung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crackles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Diarrhea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299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Vomiting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28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Asthenia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99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Abdominal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30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Weight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Polyuria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299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Polidipsia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0.11</w:t>
            </w:r>
          </w:p>
        </w:tc>
      </w:tr>
      <w:tr>
        <w:trPr>
          <w:trHeight w:val="30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Poliphagia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</w:t>
            </w:r>
          </w:p>
        </w:tc>
      </w:tr>
      <w:tr>
        <w:trPr>
          <w:trHeight w:val="29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Sensory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Awake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Sleepy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Drowsy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Vital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signs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Respiratory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0.006</w:t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(82.3,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2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Heart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(BPM)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0.25</w:t>
            </w:r>
          </w:p>
        </w:tc>
      </w:tr>
      <w:tr>
        <w:trPr>
          <w:trHeight w:val="296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0.002</w:t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294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DBP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0.009</w:t>
            </w:r>
          </w:p>
        </w:tc>
      </w:tr>
      <w:tr>
        <w:trPr>
          <w:trHeight w:val="284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(5.8%)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test; Fisher's exact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2024-06-20T02:51:06Z</dcterms:modified>
  <cp:category/>
</cp:coreProperties>
</file>