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Demographics and clinical characteristics of patients on admission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2024-06-12T02:32:08Z</dcterms:modified>
  <cp:category/>
</cp:coreProperties>
</file>