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 Demographic and clinical characteristics of the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Alcoholism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9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Cerebrovascular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9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Immunesupressive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Chronic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Hemodialysis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0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Duration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9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29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trHeight w:val="3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</w:tr>
      <w:tr>
        <w:trPr>
          <w:trHeight w:val="29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9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Polyuria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9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Polidipsia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3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29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Sensory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Awake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Sleepy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Drowsy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29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29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28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2024-06-21T01:30:59Z</dcterms:modified>
  <cp:category/>
</cp:coreProperties>
</file>