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Laboratory findings and treatment of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13.1)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19.2)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</w:tr>
      <w:tr>
        <w:trPr>
          <w:trHeight w:val="28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</w:tr>
      <w:tr>
        <w:trPr>
          <w:trHeight w:val="29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</w:tr>
      <w:tr>
        <w:trPr>
          <w:trHeight w:val="3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</w:tr>
      <w:tr>
        <w:trPr>
          <w:trHeight w:val="28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28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0.031</w:t>
            </w:r>
          </w:p>
        </w:tc>
      </w:tr>
      <w:tr>
        <w:trPr>
          <w:trHeight w:val="28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Glucose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293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29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9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Sodium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trHeight w:val="29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Potasium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8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Chlorine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28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30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28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(95.1,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29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trHeight w:val="28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95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28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Antibiotics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84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84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(47.3%)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2024-07-24T17:30:36Z</dcterms:modified>
  <cp:category/>
</cp:coreProperties>
</file>