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Mortality risk factors in patient with COVID-19 and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2024-07-25T17:04:22Z</dcterms:modified>
  <cp:category/>
</cp:coreProperties>
</file>