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Mortality risk factors in patient with COVID-19 and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2024-07-30T04:11:38Z</dcterms:modified>
  <cp:category/>
</cp:coreProperties>
</file>