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Mortality risk factors in patient with COVID-19 and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2024-07-25T16:27:06Z</dcterms:modified>
  <cp:category/>
</cp:coreProperties>
</file>