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Mortality risk factors in patient with COVID-19 and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2024-07-26T00:05:56Z</dcterms:modified>
  <cp:category/>
</cp:coreProperties>
</file>