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Characteristics of Venezuelan adults living in Peru (N = 7727)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Weighted proportion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(%)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46.9 - 49.9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3,990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50.1 - 53.1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1,945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22.5 - 25.0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to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3,006 (40.5)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39.1 - 42.0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to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1,941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24.1 - 26.6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8.09 - 9.70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1.33 - 1.96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1,671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22.4 - 25.0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5,141 (64.5)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63.1 - 65.9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915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10.9 - 12.8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2,250 (31.7)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30.4 - 33.1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3,479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46.0 - 48.9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formal education or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1,998 (20.8)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19.7 - 22.0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2,769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34.8 - 37.5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 a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4,958 (63.8)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62.5 - 65.2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Migratory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4,866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69.0 - 71.6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2,861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28.4 - 31.0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Residence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5,866 (77.6)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76.3 - 78.8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7.60 - 9.26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4.40 - 5.68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771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8.24 - 9.87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4.69 - 5.99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7,251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94.0 - 95.3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Chronic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1,334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15.5 - 17.6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6,393 (83.5)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82.4 - 84.5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903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10.4 - 12.2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6,824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87.8 - 89.6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4,708 (59.6)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58.2 - 61.0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1.03 - 1.67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2,277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30.0 - 32.8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643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6.94 - 8.48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5,830 (76.4)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75.1 - 77.6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1,897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22.4 - 24.9</w:t>
            </w:r>
          </w:p>
        </w:tc>
      </w:tr>
      <w:tr>
        <w:trPr>
          <w:trHeight w:val="57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4.87 - 6.16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3,632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48.1 - 51.0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2,850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33.3 - 36.1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851 (10.3)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9.45 - 11.2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 = count unweighted (weighted percentage)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2024-01-30T20:03:36Z</dcterms:modified>
  <cp:category/>
</cp:coreProperties>
</file>