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1653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Normal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825 (49.9%)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 temprana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113 (6.8%)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528 (31.9%)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187 (11.3%)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 del infante,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861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290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125 (66.8%)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792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238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(33.2%)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de riqueza,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0.031**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554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247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789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416 (50.4%)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246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310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Departamento,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486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232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461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382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179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(24.8%)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324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Etnia,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0.328**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680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335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232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Alfa-1-glicoproteína ácida (g/L),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Proteína C reactiva (mg/L),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(0.37, 0.71)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(0.36, 0.70)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(0.34, 0.58)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 (0.38, 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(0.36, 0.66)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0.023*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de Chi-cuadrado (**).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2026-03-08T01:43:59Z</dcterms:modified>
  <cp:category/>
</cp:coreProperties>
</file>