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Etnia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(0.75 to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 (0.63 to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(0.74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(0.57 to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0.128</w:t>
            </w:r>
          </w:p>
        </w:tc>
      </w:tr>
      <w:tr>
        <w:trPr>
          <w:trHeight w:val="65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(0.75 to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(0.64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(0.78 to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 (0.50 to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(0.77 to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(0.70 to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(0.69 to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(0.67 to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0.979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(0.70 to 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(0.47 to 0.72)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(0.78 to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(0.42 to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(0.85 to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(0.54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 (0.89 to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(0.46 to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0.281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(0.71 to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(0.50 to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(0.77 to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 (0.37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(0.64 to 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 (0.39 to 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(0.77 to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 (0.25 to 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(0.78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(0.71 to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(0.84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 (0.49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617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(0.79 to 1.10)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1.39 (1.06 to 1.84)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(0.71 to 1.12)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 (0.73 to 1.52)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RPa: Razón de Prevalencia Ajustado; IC 95%: Intervalo de Confianza al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2026-03-08T01:44:00Z</dcterms:modified>
  <cp:category/>
</cp:coreProperties>
</file>