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4" w:hRule="auto"/>
          <w:tblHeader/>
        </w:trPr>
        header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Anemia</w:t>
            </w:r>
          </w:p>
        </w:tc>
        <w:tc>
          <w:tcPr>
            <w:gridSpan w:val="2"/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Ferropenia</w:t>
            </w:r>
          </w:p>
        </w:tc>
        <w:tc>
          <w:tcPr>
            <w:gridSpan w:val="2"/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Anemia no ferropénica</w:t>
            </w:r>
          </w:p>
        </w:tc>
        <w:tc>
          <w:tcPr>
            <w:gridSpan w:val="2"/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Anemia ferropénica</w:t>
            </w:r>
          </w:p>
        </w:tc>
      </w:tr>
      <w:tr>
        <w:trPr>
          <w:trHeight w:val="617" w:hRule="auto"/>
          <w:tblHeader/>
        </w:trPr>
        header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Características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RPc (IC 95%)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p-valor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RPc (IC 95%)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p-valor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RPc (IC 95%)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p-valor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RPc (IC 95%)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p-valor</w:t>
            </w:r>
          </w:p>
        </w:tc>
      </w:tr>
      <w:tr>
        <w:trPr>
          <w:trHeight w:val="571" w:hRule="auto"/>
        </w:trPr>
        body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Etnia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Mestizo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Quechua/Aymara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 (0.85 to 1.06)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1.16 (0.94 to 1.43)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0.89 (0.77 to 1.03)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1.12 (0.85 to 1.48)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0.438</w:t>
            </w:r>
          </w:p>
        </w:tc>
      </w:tr>
      <w:tr>
        <w:trPr>
          <w:trHeight w:val="652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Índice de riqueza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Pobre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Medio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0.84 (0.74 to 0.94)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0.77 (0.61 to 0.97)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0.90 (0.78 to 1.06)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0.67 (0.49 to 0.90)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0.008</w:t>
            </w:r>
          </w:p>
        </w:tc>
      </w:tr>
      <w:tr>
        <w:trPr>
          <w:trHeight w:val="617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Rico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0.87 (0.74 to 1.01)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0.88 (0.66 to 1.16)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0.85 (0.69 to 1.04)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 (0.63 to 1.30)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0.638</w:t>
            </w:r>
          </w:p>
        </w:tc>
      </w:tr>
      <w:tr>
        <w:trPr>
          <w:trHeight w:val="574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Sexo del infante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Masculino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Femenino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 (0.70 to 0.88)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0.58 (0.46 to 0.71)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0.89 (0.77 to 1.03)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0.54 (0.40 to 0.72)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71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Nivel educativo de la madre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Primaria o ninguno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Secundaria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1.09 (0.87 to 1.41)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0.484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0.82 (0.57 to 1.25)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1.27 (0.93 to 1.82)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0.167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0.77 (0.49 to 1.33)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0.313</w:t>
            </w:r>
          </w:p>
        </w:tc>
      </w:tr>
      <w:tr>
        <w:trPr>
          <w:trHeight w:val="617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Superior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 (0.73 to 1.21)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 (0.54 to 1.22)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1.06 (0.77 to 1.54)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0.67 (0.41 to 1.17)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0.130</w:t>
            </w:r>
          </w:p>
        </w:tc>
      </w:tr>
      <w:tr>
        <w:trPr>
          <w:trHeight w:val="612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Departamento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Arequipa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Lima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0.82 (0.70 to 0.95)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0.57 (0.41 to 0.78)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(0.83 to 1.20)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0.993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0.41 (0.27 to 0.61)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Cusco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0.96 (0.83 to 1.10)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0.551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0.95 (0.72 to 1.25)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1.05 (0.87 to 1.27)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0.74 (0.52 to 1.05)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0.101</w:t>
            </w:r>
          </w:p>
        </w:tc>
      </w:tr>
      <w:tr>
        <w:trPr>
          <w:trHeight w:val="617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Puno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0.87 (0.74 to 1.02)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1.25 (0.96 to 1.62)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0.84 (0.68 to 1.05)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0.131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 (0.66 to 1.32)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0.714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z w:val="18"/>
                <w:szCs w:val="18"/>
                <w:color w:val="000000"/>
              </w:rPr>
              <w:t xml:space="preserve">Abreviacion: RPc: Razón de Prevalencia crudo; IC 95%: Intervalo de Confianza del 95%</w:t>
            </w:r>
          </w:p>
        </w:tc>
      </w:tr>
    </w:tbl>
    <w:sectPr>
      <w:pgMar w:header="708" w:bottom="720" w:top="720" w:right="720" w:left="720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2026-03-08T02:16:11Z</dcterms:modified>
  <cp:category/>
</cp:coreProperties>
</file>