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4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Ferropenia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no ferropénica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ferropénica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</w:tr>
      <w:tr>
        <w:trPr>
          <w:trHeight w:val="65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Índice de riqueza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 (0.73 to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 (0.73 to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(0.73 to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 (0.50 to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0.168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(0.80 to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 (0.69 to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 (0.70 to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1.16 (0.69 to 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0.583</w:t>
            </w:r>
          </w:p>
        </w:tc>
      </w:tr>
      <w:tr>
        <w:trPr>
          <w:trHeight w:val="57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Sexo del infante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(0.68 to 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 (0.40 to 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 (0.79 to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 (0.34 to 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Nivel educativo de la madre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Primaria o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1.08 (0.83 to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 (0.49 to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1.31 (0.88 to 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 (0.43 to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0.272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 (0.66 to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 (0.44 to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1.10 (0.72 to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 (0.32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0.071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Departamento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Arequipa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 (0.39 to 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 (0.18 to 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 (0.50 to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 (0.04 to 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Cusco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(0.77 to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 (0.76 to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 (0.81 to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 (0.48 to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0.248</w:t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(0.77 to 1.11)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1.46 (1.07 to 2.01)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(0.67 to 1.11)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1.08 (0.72 to 1.60)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RPa: Razón de Prevalencia ajustado; IC 95%: Intervalo de Confianza del 95%</w:t>
            </w:r>
          </w:p>
        </w:tc>
      </w:tr>
    </w:tbl>
    <w:sectPr>
      <w:pgMar w:header="708" w:bottom="720" w:top="720" w:right="720" w:left="720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2026-03-08T02:16:13Z</dcterms:modified>
  <cp:category/>
</cp:coreProperties>
</file>