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Ferropenia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no ferropénica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Anemia ferropénica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RPa (IC 95%)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Etnia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(0.81 to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(0.82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(0.77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(0.72 to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0.833</w:t>
            </w:r>
          </w:p>
        </w:tc>
      </w:tr>
      <w:tr>
        <w:trPr>
          <w:trHeight w:val="65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Índice de riqueza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 (0.79 to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 (0.78 to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 (0.83 to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 (0.53 to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 (0.68 to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 (0.51 to 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(0.79 to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 (0.32 to 0.66)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Sexo del infante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(0.72 to 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 (0.46 to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(0.80 to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 (0.41 to 0.73)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Nivel educativo de la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Primaria o 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 (0.86 to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(0.56 to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 (0.90 to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 (0.47 to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0.303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Superior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(0.71 to 1.17)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(0.54 to 1.20)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 (0.74 to 1.48)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 (0.40 to 1.10)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Abreviacion: RPa: Razón de Prevalencia ajustado; IC 95%: Intervalo de Confianza del 95%. Los modelos fueron ajustados por el sexo del infante, índice de riqueza del hogar, nivel educativo de la madre y departamento de residencia.</w:t>
            </w:r>
          </w:p>
        </w:tc>
      </w:tr>
    </w:tbl>
    <w:sectPr>
      <w:pgMar w:header="708" w:bottom="720" w:top="720" w:right="720" w:left="720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2026-05-25T04:11:37Z</dcterms:modified>
  <cp:category/>
</cp:coreProperties>
</file>