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1440"/>
        <w:gridCol w:w="1440"/>
        <w:gridCol w:w="1008"/>
      </w:tblGrid>
      <w:tr>
        <w:trPr>
          <w:trHeight w:val="82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Características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Mestizo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694 (41.0%)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Quechua/Aymara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999 (59.0%)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p-valor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Edad de la madre, Mediana (Q1, Q3)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 (22, 32)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 (23, 33)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0.041*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Nivel educativo de la madre,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&lt;0.001**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Primaria o ninguno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 (22.0%)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78 (78.0%)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Secundaria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404 (43.1%)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533 (56.9%)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Superior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268 (40.9%)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388 (59.1%)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Sexo del infante,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0.670**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Masculino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368 (41.5%)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518 (58.5%)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Femenino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326 (40.4%)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481 (59.6%)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Seguro de salud del infante,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&lt;0.001†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Públicos (SIS, EsSalud, FFAA)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629 (39.4%)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968 (60.6%)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Privado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(87.5%)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 sabe o no responde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58 (65.9%)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 (34.1%)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5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Índice de riqueza,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&lt;0.001**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Pobre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231 (39.7%)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351 (60.3%)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Medio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100 (17.6%)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469 (82.4%)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363 (67.0%)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179 (33.0%)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Altura (m s. n. m.),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&lt;0.001**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 1500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382 (81.1%)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89 (18.9%)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1500 - 2999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215 (43.3%)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282 (56.7%)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3000 - 3499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75 (20.2%)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296 (79.8%)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&gt;= 3500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332 (93.8%)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Departamento,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&lt;0.001**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Arequipa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215 (43.3%)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282 (56.7%)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Lima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382 (81.1%)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89 (18.9%)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Cusco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80 (20.4%)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312 (79.6%)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Puno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316 (94.9%)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Anemia (OMS 2024, con ajuste por altura),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0.413**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384 (40.1%)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574 (59.9%)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310 (42.2%)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425 (57.8%)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Ferropenia (Método BRINDA),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0.168**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579 (41.8%)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806 (58.2%)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115 (37.3%)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193 (62.7%)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Clasificación de anemia y ferropenia,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0.333**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343 (40.7%)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500 (59.3%)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Ferropenia temprana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 (35.7%)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74 (64.3%)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Anemia no ferropénica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236 (43.5%)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306 (56.5%)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Anemia ferropénica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74 (38.3%)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119 (61.7%)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Alfa-1-glicoproteína ácida (g/L), Mediana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(0,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(0, 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0.174*</w:t>
            </w:r>
          </w:p>
        </w:tc>
      </w:tr>
      <w:tr>
        <w:trPr>
          <w:trHeight w:val="617" w:hRule="auto"/>
        </w:trPr>
        body39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Proteína C reactiva (mg/L), Mediana (Q1, Q3)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0.50 (0.37, 0.73)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0.48 (0.37, 0.69)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0.364*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Prueba U de Mann-Whitney (*); Prueba de Chi-cuadrado (**); Prueba exacta de Fisher (†)</w:t>
            </w:r>
          </w:p>
        </w:tc>
      </w:tr>
      <w:tr>
        <w:trPr>
          <w:trHeight w:val="360" w:hRule="auto"/>
        </w:trPr>
        footer 2
        <w:tc>
          <w:tcPr>
            <w:gridSpan w:val="4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Abreviacion: OMS, Organización Mundial de la Salud; SIS, Seguro Integral de Salud</w:t>
            </w:r>
          </w:p>
        </w:tc>
      </w:tr>
    </w:tbl>
    <w:sectPr>
      <w:pgMar w:header="708" w:bottom="720" w:top="720" w:right="720" w:left="720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2026-05-23T05:50:15Z</dcterms:modified>
  <cp:category/>
</cp:coreProperties>
</file>