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Ferropenia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no ferropénica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ferropénica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</w:tr>
      <w:tr>
        <w:trPr>
          <w:trHeight w:val="65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(0.72 to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(0.53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(0.74 to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 (0.39 to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0.297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 (0.63 to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(0.39 to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(0.73 to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 (0.25 to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Sexo del infante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(0.66 to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 (0.47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(0.68 to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 (0.40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Nivel educativo de la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Primaria o 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(0.68 to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1.20 (0.39 to 3.73)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 (0.61 to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(0.27 to 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0.897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Superior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(0.57 to 1.66)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1.15 (0.37 to 3.63)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(0.50 to 1.82)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(0.24 to 4.20)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RPa: Razón de Prevalencia ajustado; IC 95%: Intervalo de Confianza del 95%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2026-05-23T05:50:17Z</dcterms:modified>
  <cp:category/>
</cp:coreProperties>
</file>