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Anemia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Ferropenia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Anemia no ferropénica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Anemia ferropénica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Características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p-valor</w:t>
            </w:r>
          </w:p>
        </w:tc>
      </w:tr>
      <w:tr>
        <w:trPr>
          <w:trHeight w:val="65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Índice de riqueza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0.90 (0.77 to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1.06 (0.80 to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(0.80 to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0.75 (0.53 to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0.112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 (0.68 to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 (0.54 to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(0.76 to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 (0.33 to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0.041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Sexo del infante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Femenino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 (0.71 to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0.52 (0.40 to 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(0.82 to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0.50 (0.35 to 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Nivel educativo de la madre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Primaria o ninguno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Secundaria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1.09 (0.83 to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0.77 (0.50 to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1.31 (0.88 to 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0.73 (0.43 to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0.256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Superior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0.89 (0.66 to 1.19)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0.73 (0.47 to 1.13)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1.08 (0.71 to 1.63)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0.59 (0.33 to 1.03)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0.065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Abreviacion: RPa: Razón de Prevalencia ajustado; IC 95%: Intervalo de Confianza del 95%</w:t>
            </w:r>
          </w:p>
        </w:tc>
      </w:tr>
    </w:tbl>
    <w:sectPr>
      <w:pgMar w:header="708" w:bottom="720" w:top="720" w:right="720" w:left="720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2026-05-23T05:50:18Z</dcterms:modified>
  <cp:category/>
</cp:coreProperties>
</file>