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824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Characteristics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Total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 = 1693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No deficiencies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 = 843 (49.8%)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Iron Deficiency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 = 115 (6.8%)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Non-iron-deficiency anemia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 = 542 (32.0%)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Iron-deficiency anemia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 = 193 (11.4%)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q-value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18"/>
                <w:szCs w:val="18"/>
                <w:color w:val="000000"/>
              </w:rPr>
              <w:t xml:space="preserve">3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Mother's age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 (23, 33)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 (23, 33)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 (23, 30)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 (22, 33)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 (23, 31)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0.607*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</w:t>
            </w:r>
          </w:p>
        </w:tc>
      </w:tr>
      <w:tr>
        <w:trPr>
          <w:trHeight w:val="57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Sex of children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&lt;0.001**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886 (52.3%)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387 (45.9%)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73 (63.5%)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296 (54.6%)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130 (67.4%)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807 (47.7%)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456 (54.1%)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42 (36.5%)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246 (45.4%)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63 (32.6%)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Wealth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0.021*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0.041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565 (33.4%)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273 (32.4%)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33 (28.7%)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182 (33.6%)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77 (39.9%)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Middle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565 (33.4%)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250 (29.7%)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50 (43.5%)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203 (37.5%)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62 (32.1%)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Richest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563 (33.3%)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320 (38.0%)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32 (27.8%)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157 (29.0%)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 (28.0%)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Level of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0.129*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None or 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100 (5.9%)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51 (6.0%)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 (6.1%)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 (7.8%)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937 (55.3%)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442 (52.4%)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60 (52.2%)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325 (60.0%)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110 (57.0%)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Higher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656 (38.7%)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350 (41.5%)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48 (41.7%)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190 (35.1%)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68 (35.2%)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2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Department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&lt;0.001**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Arequipa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497 (29.4%)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238 (28.2%)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 (21.7%)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161 (29.7%)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73 (37.8%)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Lima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471 (27.8%)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264 (31.3%)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 (20.9%)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154 (28.4%)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 (15.0%)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Cusco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392 (23.2%)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180 (21.4%)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30 (26.1%)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137 (25.3%)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45 (23.3%)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Puno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333 (19.7%)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161 (19.1%)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36 (31.3%)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90 (16.6%)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46 (23.8%)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Ethnic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0.333**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</w:t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Mestizo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694 (41.0%)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343 (40.7%)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41 (35.7%)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236 (43.5%)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74 (38.3%)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Quechua/Aymara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999 (59.0%)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500 (59.3%)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74 (64.3%)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306 (56.5%)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119 (61.7%)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Alpha-1-acid glycoprotein (g/L)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(0, 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(0, 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(0, 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(0, 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(0, 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0.001*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0.004</w:t>
            </w:r>
          </w:p>
        </w:tc>
      </w:tr>
      <w:tr>
        <w:trPr>
          <w:trHeight w:val="617" w:hRule="auto"/>
        </w:trPr>
        body22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C-reactive protein (g/L) (mg/L)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0.49 (0.37, 0.71)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0.48 (0.36, 0.70)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0.47 (0.34, 0.62)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0.51 (0.38, 0.78)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0.48 (0.37, 0.66)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0.032*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0.052</w:t>
            </w:r>
          </w:p>
        </w:tc>
      </w:tr>
      <w:tr>
        <w:trPr>
          <w:trHeight w:val="360" w:hRule="auto"/>
        </w:trPr>
        footer 1
        <w:tc>
          <w:tcPr>
            <w:gridSpan w:val="8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Median (Q1, Q3); n (%)</w:t>
            </w:r>
          </w:p>
        </w:tc>
      </w:tr>
      <w:tr>
        <w:trPr>
          <w:trHeight w:val="360" w:hRule="auto"/>
        </w:trPr>
        footer 2
        <w:tc>
          <w:tcPr>
            <w:gridSpan w:val="8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Kruskal-Wallis test (*); Chi-square test (**).</w:t>
            </w:r>
          </w:p>
        </w:tc>
      </w:tr>
      <w:tr>
        <w:trPr>
          <w:trHeight w:val="360" w:hRule="auto"/>
        </w:trPr>
        footer 3
        <w:tc>
          <w:tcPr>
            <w:gridSpan w:val="8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" w:before="1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18"/>
                <w:szCs w:val="18"/>
                <w:color w:val="000000"/>
              </w:rPr>
              <w:t xml:space="preserve">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Benjamini &amp; Hochberg correction for multiple testing</w:t>
            </w:r>
          </w:p>
        </w:tc>
      </w:tr>
    </w:tbl>
    <w:sectPr>
      <w:pgMar w:header="708" w:bottom="720" w:top="720" w:right="720" w:left="720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2026-06-30T21:24:11Z</dcterms:modified>
  <cp:category/>
</cp:coreProperties>
</file>