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Characteristics of study participants according to hematological status among Peruvian infants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1693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 deficiencies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843 (49.8%)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115 (6.8%)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542 (32.0%)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193 (11.4%)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Mother's age, Median (Q1, Q3)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(23, 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(22,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0.607*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of children,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886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387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807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456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246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wealth_3,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0.021†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565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565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250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203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320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educacion,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0.182†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937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442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325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656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471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264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154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392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 group,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0.333**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694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999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Alpha-1-acid glycoprotein (g/L), 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0.001*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C-reactive protein (g/L) (mg/L), Median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 (0.37, 0.71)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(0.36, 0.70)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 (0.34, 0.62)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 (0.38, 0.78)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(0.37, 0.66)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0.032*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(*) Kruskal-Wallis test; (**) Chi-square test; (†) Cochran-Mantel-Haenszel test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2026-07-01T21:34:21Z</dcterms:modified>
  <cp:category/>
</cp:coreProperties>
</file>