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Adjusted associations between sociodemographic factors and hematological outcomes among Peruvian infants aged 6–8 months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(0.82 to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1.13 (0.91 to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(0.76 to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 (0.78 to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0.803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(0.89 to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(0.80 to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 (0.93 to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(0.58 to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0.185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(0.71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(0.63 to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(0.70 to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 (0.52 to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0.084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(0.72 to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(0.46 to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(0.80 to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(0.40 to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 (0.87 to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(0.57 to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 (0.90 to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(0.49 to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0.424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(0.76 to 1.27)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(0.58 to 1.32)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 (0.77 to 1.54)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(0.46 to 1.33)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RPa: Adjusted Prevalence Ratio; 95% CI: 95% Confidence Interval. The models were adjusted for the ethnic group, household wealth index, sex of children, and level of education.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2026-07-01T21:34:22Z</dcterms:modified>
  <cp:category/>
</cp:coreProperties>
</file>