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Loading Dim 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Loading Dim 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Explained variance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(R-Squared)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Contribution to Dim 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ALS-related loss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P018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-0.578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11.37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0.650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0.644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0.768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0.457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18.34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0.435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0.458</w:t>
            </w:r>
          </w:p>
        </w:tc>
      </w:tr>
      <w:tr>
        <w:trPr>
          <w:trHeight w:val="360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P027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0.564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16.03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0.506</w:t>
            </w:r>
          </w:p>
        </w:tc>
      </w:tr>
    </w:tbl>
    <w:sectPr>
      <w:pgMar w:header="708" w:bottom="720" w:top="720" w:right="720" w:left="720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2026-07-01T21:34:23Z</dcterms:modified>
  <cp:category/>
</cp:coreProperties>
</file>