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S4. Crude associations between sociodemographic factors and hematological outcomes among Peruvian infants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(0.85 to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(0.95 to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(0.78 to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(0.85 to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0.427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(0.90 to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(0.80 to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(0.95 to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(0.59 to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(0.71 to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(0.61 to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(0.72 to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 (0.50 to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0.036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(0.71 to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(0.46 to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(0.79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(0.40 to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(0.89 to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(0.57 to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 (0.94 to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(0.49 to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0.335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(0.74 to 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(0.55 to 1.24)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(0.78 to 1.56)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 (0.43 to 1.21)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PR: Crude Prevalence Ratio; 95% CI: 95% Confidence Interval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2026-07-01T21:34:24Z</dcterms:modified>
  <cp:category/>
</cp:coreProperties>
</file>