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66" w:rsidRPr="00BB76DC" w:rsidRDefault="00F03B66">
      <w:pPr>
        <w:rPr>
          <w:rFonts w:ascii="Verdana" w:hAnsi="Verdana"/>
          <w:sz w:val="24"/>
        </w:rPr>
      </w:pPr>
      <w:r w:rsidRPr="00BB76DC">
        <w:rPr>
          <w:rFonts w:ascii="Verdana" w:hAnsi="Verdana"/>
          <w:sz w:val="24"/>
        </w:rPr>
        <w:t xml:space="preserve">Un </w:t>
      </w:r>
      <w:r w:rsidRPr="00BB76DC">
        <w:rPr>
          <w:rFonts w:ascii="Verdana" w:hAnsi="Verdana"/>
          <w:b/>
          <w:sz w:val="24"/>
        </w:rPr>
        <w:t>contrato de trabajo</w:t>
      </w:r>
      <w:r w:rsidRPr="00BB76DC">
        <w:rPr>
          <w:rFonts w:ascii="Verdana" w:hAnsi="Verdana"/>
          <w:sz w:val="24"/>
        </w:rPr>
        <w:t xml:space="preserve"> existe desde el momento en que </w:t>
      </w:r>
      <w:r w:rsidRPr="00BB76DC">
        <w:rPr>
          <w:rFonts w:ascii="Verdana" w:hAnsi="Verdana"/>
          <w:sz w:val="24"/>
          <w:u w:val="single"/>
        </w:rPr>
        <w:t>una o varias</w:t>
      </w:r>
      <w:r w:rsidRPr="00BB76DC">
        <w:rPr>
          <w:rFonts w:ascii="Verdana" w:hAnsi="Verdana"/>
          <w:sz w:val="24"/>
        </w:rPr>
        <w:t xml:space="preserve"> personas consisten en obligarse respecto a otra u otras a dar una cosa o prestar el servicio (art. 1234 del Código Civil).</w:t>
      </w:r>
    </w:p>
    <w:p w:rsidR="00F03B66" w:rsidRPr="00BB76DC" w:rsidRDefault="00F03B66">
      <w:pPr>
        <w:rPr>
          <w:rFonts w:ascii="Verdana" w:hAnsi="Verdana"/>
          <w:sz w:val="24"/>
        </w:rPr>
      </w:pPr>
      <w:r w:rsidRPr="00BB76DC">
        <w:rPr>
          <w:rFonts w:ascii="Verdana" w:hAnsi="Verdana"/>
          <w:sz w:val="24"/>
        </w:rPr>
        <w:t xml:space="preserve">La empresa tiene una sede en un </w:t>
      </w:r>
      <w:r w:rsidRPr="00BB76DC">
        <w:rPr>
          <w:rFonts w:ascii="Verdana" w:hAnsi="Verdana"/>
          <w:sz w:val="24"/>
          <w:u w:val="single"/>
        </w:rPr>
        <w:t>edificio</w:t>
      </w:r>
      <w:r w:rsidRPr="00BB76DC">
        <w:rPr>
          <w:rFonts w:ascii="Verdana" w:hAnsi="Verdana"/>
          <w:sz w:val="24"/>
        </w:rPr>
        <w:t xml:space="preserve"> </w:t>
      </w:r>
      <w:r w:rsidRPr="00BB76DC">
        <w:rPr>
          <w:rFonts w:ascii="Verdana" w:hAnsi="Verdana"/>
          <w:sz w:val="24"/>
          <w:u w:val="single"/>
        </w:rPr>
        <w:t>de</w:t>
      </w:r>
      <w:r w:rsidRPr="00BB76DC">
        <w:rPr>
          <w:rFonts w:ascii="Verdana" w:hAnsi="Verdana"/>
          <w:sz w:val="24"/>
        </w:rPr>
        <w:t xml:space="preserve"> </w:t>
      </w:r>
      <w:r w:rsidRPr="008B19F4">
        <w:rPr>
          <w:rFonts w:ascii="Verdana" w:hAnsi="Verdana"/>
          <w:sz w:val="24"/>
          <w:u w:val="single"/>
        </w:rPr>
        <w:t>cinco</w:t>
      </w:r>
      <w:r w:rsidRPr="00BB76DC">
        <w:rPr>
          <w:rFonts w:ascii="Verdana" w:hAnsi="Verdana"/>
          <w:sz w:val="24"/>
        </w:rPr>
        <w:t xml:space="preserve"> </w:t>
      </w:r>
      <w:r w:rsidRPr="008B19F4">
        <w:rPr>
          <w:rFonts w:ascii="Verdana" w:hAnsi="Verdana"/>
          <w:sz w:val="24"/>
          <w:u w:val="single"/>
        </w:rPr>
        <w:t>plantas</w:t>
      </w:r>
      <w:r w:rsidRPr="00BB76DC">
        <w:rPr>
          <w:rFonts w:ascii="Verdana" w:hAnsi="Verdana"/>
          <w:sz w:val="24"/>
        </w:rPr>
        <w:t xml:space="preserve"> a razón de 250 m</w:t>
      </w:r>
      <w:r w:rsidRPr="00BB76DC">
        <w:rPr>
          <w:rFonts w:ascii="Verdana" w:hAnsi="Verdana"/>
          <w:sz w:val="24"/>
          <w:vertAlign w:val="superscript"/>
        </w:rPr>
        <w:t>2</w:t>
      </w:r>
      <w:r w:rsidRPr="00BB76DC">
        <w:rPr>
          <w:rFonts w:ascii="Verdana" w:hAnsi="Verdana"/>
          <w:sz w:val="24"/>
        </w:rPr>
        <w:t xml:space="preserve"> por planta. </w:t>
      </w:r>
      <w:r w:rsidR="00310203" w:rsidRPr="00BB76DC">
        <w:rPr>
          <w:rFonts w:ascii="Verdana" w:hAnsi="Verdana"/>
          <w:sz w:val="24"/>
        </w:rPr>
        <w:t>Además,</w:t>
      </w:r>
      <w:r w:rsidRPr="00BB76DC">
        <w:rPr>
          <w:rFonts w:ascii="Verdana" w:hAnsi="Verdana"/>
          <w:sz w:val="24"/>
        </w:rPr>
        <w:t xml:space="preserve"> posee dos naves comerciales situadas en un polígono</w:t>
      </w:r>
      <w:r w:rsidR="00310203" w:rsidRPr="00BB76DC">
        <w:rPr>
          <w:rFonts w:ascii="Verdana" w:hAnsi="Verdana"/>
          <w:sz w:val="24"/>
        </w:rPr>
        <w:t xml:space="preserve"> comercial próximo a</w:t>
      </w:r>
      <w:r w:rsidR="00B17225" w:rsidRPr="00BB76DC">
        <w:rPr>
          <w:rFonts w:ascii="Verdana" w:hAnsi="Verdana"/>
          <w:sz w:val="24"/>
        </w:rPr>
        <w:t xml:space="preserve"> Madrid, una de ellas dedicadas </w:t>
      </w:r>
      <w:r w:rsidR="00BB76DC" w:rsidRPr="00BB76DC">
        <w:rPr>
          <w:rFonts w:ascii="Verdana" w:hAnsi="Verdana"/>
          <w:sz w:val="24"/>
        </w:rPr>
        <w:t>al almacenamiento de productos terminados y la otra para maquinaria y materias primas.</w:t>
      </w:r>
    </w:p>
    <w:p w:rsidR="00BB76DC" w:rsidRDefault="00BB76DC" w:rsidP="00BB76DC"/>
    <w:p w:rsidR="00BB76DC" w:rsidRPr="00BB76DC" w:rsidRDefault="00BB76DC" w:rsidP="00BB76DC">
      <w:pPr>
        <w:pBdr>
          <w:top w:val="double" w:sz="4" w:space="1" w:color="ED7D31" w:themeColor="accent2"/>
          <w:left w:val="double" w:sz="4" w:space="4" w:color="ED7D31" w:themeColor="accent2"/>
          <w:bottom w:val="double" w:sz="4" w:space="1" w:color="ED7D31" w:themeColor="accent2"/>
          <w:right w:val="double" w:sz="4" w:space="4" w:color="ED7D31" w:themeColor="accent2"/>
        </w:pBdr>
        <w:jc w:val="center"/>
        <w:rPr>
          <w:rFonts w:ascii="Verdana" w:hAnsi="Verdana"/>
          <w:sz w:val="24"/>
        </w:rPr>
      </w:pPr>
      <w:r w:rsidRPr="00BB76DC">
        <w:rPr>
          <w:rFonts w:ascii="Verdana" w:hAnsi="Verdana"/>
          <w:sz w:val="24"/>
        </w:rPr>
        <w:t>A1) x</w:t>
      </w:r>
      <w:r w:rsidRPr="00BB76DC">
        <w:rPr>
          <w:rFonts w:ascii="Verdana" w:hAnsi="Verdana"/>
          <w:sz w:val="24"/>
          <w:vertAlign w:val="superscript"/>
        </w:rPr>
        <w:t>2</w:t>
      </w:r>
      <w:r w:rsidRPr="00BB76DC">
        <w:rPr>
          <w:rFonts w:ascii="Verdana" w:hAnsi="Verdana"/>
          <w:sz w:val="24"/>
        </w:rPr>
        <w:t>-y</w:t>
      </w:r>
      <w:r w:rsidRPr="00BB76DC">
        <w:rPr>
          <w:rFonts w:ascii="Verdana" w:hAnsi="Verdana"/>
          <w:sz w:val="24"/>
          <w:vertAlign w:val="superscript"/>
        </w:rPr>
        <w:t>2</w:t>
      </w:r>
    </w:p>
    <w:p w:rsidR="00BB76DC" w:rsidRPr="00BB76DC" w:rsidRDefault="00BB76DC" w:rsidP="00BB76DC">
      <w:pPr>
        <w:pBdr>
          <w:top w:val="double" w:sz="4" w:space="1" w:color="ED7D31" w:themeColor="accent2"/>
          <w:left w:val="double" w:sz="4" w:space="4" w:color="ED7D31" w:themeColor="accent2"/>
          <w:bottom w:val="double" w:sz="4" w:space="1" w:color="ED7D31" w:themeColor="accent2"/>
          <w:right w:val="double" w:sz="4" w:space="4" w:color="ED7D31" w:themeColor="accent2"/>
        </w:pBdr>
        <w:jc w:val="center"/>
        <w:rPr>
          <w:rFonts w:ascii="Verdana" w:hAnsi="Verdana"/>
          <w:sz w:val="24"/>
          <w:vertAlign w:val="superscript"/>
        </w:rPr>
      </w:pPr>
      <w:r w:rsidRPr="00BB76DC">
        <w:rPr>
          <w:rFonts w:ascii="Verdana" w:hAnsi="Verdana"/>
          <w:sz w:val="24"/>
        </w:rPr>
        <w:t>B1) x</w:t>
      </w:r>
      <w:r w:rsidRPr="00BB76DC">
        <w:rPr>
          <w:rFonts w:ascii="Verdana" w:hAnsi="Verdana"/>
          <w:sz w:val="24"/>
          <w:vertAlign w:val="superscript"/>
        </w:rPr>
        <w:t>4</w:t>
      </w:r>
      <w:r w:rsidRPr="00BB76DC">
        <w:rPr>
          <w:rFonts w:ascii="Verdana" w:hAnsi="Verdana"/>
          <w:sz w:val="24"/>
        </w:rPr>
        <w:t>-y</w:t>
      </w:r>
      <w:r w:rsidRPr="00BB76DC">
        <w:rPr>
          <w:rFonts w:ascii="Verdana" w:hAnsi="Verdana"/>
          <w:sz w:val="24"/>
          <w:vertAlign w:val="superscript"/>
        </w:rPr>
        <w:t>4</w:t>
      </w:r>
    </w:p>
    <w:p w:rsidR="00BB76DC" w:rsidRDefault="00BB76DC" w:rsidP="00BB76DC">
      <w:pPr>
        <w:rPr>
          <w:vertAlign w:val="superscript"/>
        </w:rPr>
      </w:pPr>
    </w:p>
    <w:p w:rsidR="00BB76DC" w:rsidRDefault="00BB76DC" w:rsidP="00BB76DC">
      <w:pPr>
        <w:ind w:firstLine="1134"/>
        <w:rPr>
          <w:rFonts w:ascii="Verdana" w:hAnsi="Verdana"/>
          <w:b/>
          <w:sz w:val="24"/>
        </w:rPr>
      </w:pPr>
      <w:r>
        <w:rPr>
          <w:rFonts w:ascii="Verdana" w:hAnsi="Verdana"/>
          <w:sz w:val="24"/>
        </w:rPr>
        <w:t xml:space="preserve">Este párrafo tiene una sangría de 2 centímetros en su primera línea, por ello a esta sangría se le llama de </w:t>
      </w:r>
      <w:r w:rsidRPr="00BB76DC">
        <w:rPr>
          <w:rFonts w:ascii="Verdana" w:hAnsi="Verdana"/>
          <w:sz w:val="24"/>
          <w:u w:val="single"/>
        </w:rPr>
        <w:t>primera línea</w:t>
      </w:r>
      <w:r>
        <w:rPr>
          <w:rFonts w:ascii="Verdana" w:hAnsi="Verdana"/>
          <w:sz w:val="24"/>
        </w:rPr>
        <w:t xml:space="preserve"> y está </w:t>
      </w:r>
      <w:r w:rsidRPr="00BB76DC">
        <w:rPr>
          <w:rFonts w:ascii="Verdana" w:hAnsi="Verdana"/>
          <w:b/>
          <w:sz w:val="24"/>
        </w:rPr>
        <w:t>alineado a la izquierda</w:t>
      </w:r>
    </w:p>
    <w:p w:rsidR="00BB76DC" w:rsidRDefault="00BB76DC" w:rsidP="00BB76DC">
      <w:pPr>
        <w:ind w:firstLine="1134"/>
        <w:rPr>
          <w:rFonts w:ascii="Verdana" w:hAnsi="Verdana"/>
          <w:sz w:val="24"/>
        </w:rPr>
      </w:pPr>
    </w:p>
    <w:p w:rsidR="00BB76DC" w:rsidRDefault="00BB76DC" w:rsidP="009F66D7">
      <w:pPr>
        <w:shd w:val="clear" w:color="auto" w:fill="ED7D31" w:themeFill="accent2"/>
        <w:ind w:left="1701" w:hanging="1701"/>
        <w:rPr>
          <w:rFonts w:ascii="Verdana" w:hAnsi="Verdana"/>
          <w:sz w:val="24"/>
        </w:rPr>
      </w:pPr>
      <w:bookmarkStart w:id="0" w:name="_GoBack"/>
      <w:r>
        <w:rPr>
          <w:rFonts w:ascii="Verdana" w:hAnsi="Verdana"/>
          <w:sz w:val="24"/>
        </w:rPr>
        <w:t xml:space="preserve">Este otro párrafo, también </w:t>
      </w:r>
      <w:r>
        <w:rPr>
          <w:rFonts w:ascii="Verdana" w:hAnsi="Verdana"/>
          <w:b/>
          <w:sz w:val="24"/>
        </w:rPr>
        <w:t xml:space="preserve">alineado a la izquierda, </w:t>
      </w:r>
      <w:r>
        <w:rPr>
          <w:rFonts w:ascii="Verdana" w:hAnsi="Verdana"/>
          <w:sz w:val="24"/>
        </w:rPr>
        <w:t xml:space="preserve">tiene una sangría de 3 centímetros excepto en la primera línea, y es lo que se denomina sangría </w:t>
      </w:r>
      <w:r w:rsidRPr="00BB76DC">
        <w:rPr>
          <w:rFonts w:ascii="Verdana" w:hAnsi="Verdana"/>
          <w:sz w:val="24"/>
          <w:u w:val="single"/>
        </w:rPr>
        <w:t>francesa</w:t>
      </w:r>
      <w:r>
        <w:rPr>
          <w:rFonts w:ascii="Verdana" w:hAnsi="Verdana"/>
          <w:sz w:val="24"/>
        </w:rPr>
        <w:t xml:space="preserve">. </w:t>
      </w:r>
    </w:p>
    <w:p w:rsidR="00BB76DC" w:rsidRDefault="00BB76DC" w:rsidP="009F66D7">
      <w:pPr>
        <w:shd w:val="clear" w:color="auto" w:fill="ED7D31" w:themeFill="accent2"/>
        <w:ind w:left="1701" w:hanging="1701"/>
        <w:rPr>
          <w:rFonts w:ascii="Verdana" w:hAnsi="Verdana"/>
          <w:sz w:val="24"/>
        </w:rPr>
      </w:pPr>
    </w:p>
    <w:p w:rsidR="00BB76DC" w:rsidRPr="00BB76DC" w:rsidRDefault="009A6F6A" w:rsidP="009F66D7">
      <w:pPr>
        <w:shd w:val="clear" w:color="auto" w:fill="ED7D31" w:themeFill="accent2"/>
        <w:ind w:left="1134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Y por último este párrafo está </w:t>
      </w:r>
      <w:r w:rsidRPr="009A6F6A">
        <w:rPr>
          <w:rFonts w:ascii="Verdana" w:hAnsi="Verdana"/>
          <w:b/>
          <w:sz w:val="24"/>
        </w:rPr>
        <w:t>justificado</w:t>
      </w:r>
      <w:r>
        <w:rPr>
          <w:rFonts w:ascii="Verdana" w:hAnsi="Verdana"/>
          <w:sz w:val="24"/>
        </w:rPr>
        <w:t xml:space="preserve"> y tiene una </w:t>
      </w:r>
      <w:r w:rsidRPr="009A6F6A">
        <w:rPr>
          <w:rFonts w:ascii="Verdana" w:hAnsi="Verdana"/>
          <w:sz w:val="24"/>
          <w:u w:val="single"/>
        </w:rPr>
        <w:t>sangría completa por la izquierda</w:t>
      </w:r>
      <w:r>
        <w:rPr>
          <w:rFonts w:ascii="Verdana" w:hAnsi="Verdana"/>
          <w:sz w:val="24"/>
        </w:rPr>
        <w:t xml:space="preserve"> de 2 centímetros. Este tipo de párrafo suele utilizarse en los escritos para hacer copia literal de algún texto al que se hace referencia y también para resaltar algunas frases con respecto al contenido global del párrafo</w:t>
      </w:r>
      <w:bookmarkEnd w:id="0"/>
    </w:p>
    <w:sectPr w:rsidR="00BB76DC" w:rsidRPr="00BB7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B3"/>
    <w:rsid w:val="00310203"/>
    <w:rsid w:val="003D5293"/>
    <w:rsid w:val="008B19F4"/>
    <w:rsid w:val="009A49F6"/>
    <w:rsid w:val="009A6F6A"/>
    <w:rsid w:val="009F66D7"/>
    <w:rsid w:val="00A56DB3"/>
    <w:rsid w:val="00B17225"/>
    <w:rsid w:val="00BB76DC"/>
    <w:rsid w:val="00F0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18159"/>
  <w15:chartTrackingRefBased/>
  <w15:docId w15:val="{BD4153F8-59CC-462B-ADAB-ED54BC4F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4298A-3062-4908-A4F2-3CA3893D8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Alumno02</dc:creator>
  <cp:keywords/>
  <dc:description/>
  <cp:lastModifiedBy>Alumno02</cp:lastModifiedBy>
  <cp:revision>7</cp:revision>
  <dcterms:created xsi:type="dcterms:W3CDTF">2021-04-13T09:40:00Z</dcterms:created>
  <dcterms:modified xsi:type="dcterms:W3CDTF">2021-04-13T11:07:00Z</dcterms:modified>
</cp:coreProperties>
</file>