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01656" w14:textId="77777777" w:rsidR="00D85B8A" w:rsidRPr="00BC0434" w:rsidRDefault="00D85B8A" w:rsidP="00BC0434">
      <w:pPr>
        <w:spacing w:before="48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noProof/>
        </w:rPr>
        <w:drawing>
          <wp:inline distT="0" distB="0" distL="0" distR="0" wp14:anchorId="330D04FE" wp14:editId="158559FF">
            <wp:extent cx="2857500" cy="762000"/>
            <wp:effectExtent l="0" t="0" r="0" b="0"/>
            <wp:docPr id="958632306" name="image1.png" descr="Logotipo del Tecnológico de Monterre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 del Tecnológico de Monterrey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58F53" w14:textId="77777777" w:rsidR="00D85B8A" w:rsidRPr="00BC0434" w:rsidRDefault="00D85B8A" w:rsidP="00BC0434">
      <w:pPr>
        <w:spacing w:before="720" w:line="360" w:lineRule="auto"/>
        <w:jc w:val="center"/>
        <w:rPr>
          <w:rFonts w:ascii="Times New Roman" w:hAnsi="Times New Roman" w:cs="Times New Roman"/>
          <w:b/>
          <w:bCs/>
        </w:rPr>
      </w:pPr>
      <w:r w:rsidRPr="00BC0434">
        <w:rPr>
          <w:rFonts w:ascii="Times New Roman" w:hAnsi="Times New Roman" w:cs="Times New Roman"/>
          <w:b/>
          <w:bCs/>
        </w:rPr>
        <w:t>INSTITUTO TECNOLÓGICO Y DE ESTUDIOS</w:t>
      </w:r>
    </w:p>
    <w:p w14:paraId="157831D4" w14:textId="77777777" w:rsidR="00D85B8A" w:rsidRPr="00BC0434" w:rsidRDefault="00D85B8A" w:rsidP="00BC04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C0434">
        <w:rPr>
          <w:rFonts w:ascii="Times New Roman" w:hAnsi="Times New Roman" w:cs="Times New Roman"/>
          <w:b/>
          <w:bCs/>
        </w:rPr>
        <w:t>SUPERIORES DE MONTERREY</w:t>
      </w:r>
      <w:r w:rsidRPr="00BC0434">
        <w:rPr>
          <w:rFonts w:ascii="Times New Roman" w:hAnsi="Times New Roman" w:cs="Times New Roman"/>
          <w:b/>
          <w:bCs/>
        </w:rPr>
        <w:br/>
      </w:r>
    </w:p>
    <w:p w14:paraId="3F1C6137" w14:textId="77777777" w:rsidR="00D85B8A" w:rsidRPr="00BC0434" w:rsidRDefault="00D85B8A" w:rsidP="00BC04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C0434">
        <w:rPr>
          <w:rFonts w:ascii="Times New Roman" w:hAnsi="Times New Roman" w:cs="Times New Roman"/>
          <w:b/>
          <w:bCs/>
        </w:rPr>
        <w:br/>
      </w:r>
    </w:p>
    <w:p w14:paraId="731C2E59" w14:textId="30CCF2FC" w:rsidR="00D85B8A" w:rsidRDefault="00BC0434" w:rsidP="00E502F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BC0434">
        <w:rPr>
          <w:rFonts w:ascii="Times New Roman" w:hAnsi="Times New Roman" w:cs="Times New Roman"/>
        </w:rPr>
        <w:t>Operaciones</w:t>
      </w:r>
      <w:proofErr w:type="spellEnd"/>
      <w:r w:rsidRPr="00BC0434">
        <w:rPr>
          <w:rFonts w:ascii="Times New Roman" w:hAnsi="Times New Roman" w:cs="Times New Roman"/>
        </w:rPr>
        <w:t xml:space="preserve"> de </w:t>
      </w:r>
      <w:proofErr w:type="spellStart"/>
      <w:r w:rsidRPr="00BC0434">
        <w:rPr>
          <w:rFonts w:ascii="Times New Roman" w:hAnsi="Times New Roman" w:cs="Times New Roman"/>
        </w:rPr>
        <w:t>aprendizaje</w:t>
      </w:r>
      <w:proofErr w:type="spellEnd"/>
      <w:r w:rsidRPr="00BC0434">
        <w:rPr>
          <w:rFonts w:ascii="Times New Roman" w:hAnsi="Times New Roman" w:cs="Times New Roman"/>
        </w:rPr>
        <w:t xml:space="preserve"> </w:t>
      </w:r>
      <w:proofErr w:type="spellStart"/>
      <w:r w:rsidRPr="00BC0434">
        <w:rPr>
          <w:rFonts w:ascii="Times New Roman" w:hAnsi="Times New Roman" w:cs="Times New Roman"/>
        </w:rPr>
        <w:t>automático</w:t>
      </w:r>
      <w:proofErr w:type="spellEnd"/>
      <w:r w:rsidRPr="00BC0434">
        <w:rPr>
          <w:rFonts w:ascii="Times New Roman" w:hAnsi="Times New Roman" w:cs="Times New Roman"/>
        </w:rPr>
        <w:t xml:space="preserve"> </w:t>
      </w:r>
      <w:r w:rsidR="00D85B8A" w:rsidRPr="00BC0434">
        <w:rPr>
          <w:rFonts w:ascii="Times New Roman" w:hAnsi="Times New Roman" w:cs="Times New Roman"/>
        </w:rPr>
        <w:t>(TC5061)</w:t>
      </w:r>
      <w:r w:rsidR="00D85B8A" w:rsidRPr="00BC0434">
        <w:rPr>
          <w:rFonts w:ascii="Times New Roman" w:hAnsi="Times New Roman" w:cs="Times New Roman"/>
        </w:rPr>
        <w:br/>
      </w:r>
    </w:p>
    <w:p w14:paraId="3AA051B4" w14:textId="77777777" w:rsidR="00E502F5" w:rsidRPr="00BC0434" w:rsidRDefault="00E502F5" w:rsidP="00E502F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527B1C9" w14:textId="77777777" w:rsidR="00D85B8A" w:rsidRPr="00BC0434" w:rsidRDefault="00D85B8A" w:rsidP="00BC04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9960318" w14:textId="027D9615" w:rsidR="00D85B8A" w:rsidRPr="00BC0434" w:rsidRDefault="00D85B8A" w:rsidP="00BC0434">
      <w:pPr>
        <w:spacing w:before="20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b/>
          <w:bCs/>
        </w:rPr>
        <w:t xml:space="preserve">Código de </w:t>
      </w:r>
      <w:proofErr w:type="spellStart"/>
      <w:r w:rsidRPr="00BC0434">
        <w:rPr>
          <w:rFonts w:ascii="Times New Roman" w:hAnsi="Times New Roman" w:cs="Times New Roman"/>
          <w:b/>
          <w:bCs/>
        </w:rPr>
        <w:t>experimentación</w:t>
      </w:r>
      <w:proofErr w:type="spellEnd"/>
      <w:r w:rsidRPr="00BC0434">
        <w:rPr>
          <w:rFonts w:ascii="Times New Roman" w:hAnsi="Times New Roman" w:cs="Times New Roman"/>
          <w:b/>
          <w:bCs/>
        </w:rPr>
        <w:t xml:space="preserve"> base con </w:t>
      </w:r>
      <w:proofErr w:type="spellStart"/>
      <w:r w:rsidRPr="00BC0434">
        <w:rPr>
          <w:rFonts w:ascii="Times New Roman" w:hAnsi="Times New Roman" w:cs="Times New Roman"/>
          <w:b/>
          <w:bCs/>
        </w:rPr>
        <w:t>MLflow</w:t>
      </w:r>
      <w:proofErr w:type="spellEnd"/>
    </w:p>
    <w:p w14:paraId="0A98D5B0" w14:textId="77777777" w:rsidR="00D85B8A" w:rsidRPr="00BC0434" w:rsidRDefault="00D85B8A" w:rsidP="00BC0434">
      <w:pPr>
        <w:spacing w:after="80" w:line="360" w:lineRule="auto"/>
        <w:jc w:val="center"/>
        <w:rPr>
          <w:rFonts w:ascii="Times New Roman" w:hAnsi="Times New Roman" w:cs="Times New Roman"/>
        </w:rPr>
      </w:pPr>
    </w:p>
    <w:p w14:paraId="347FEAB3" w14:textId="419270E9" w:rsidR="00D85B8A" w:rsidRPr="00BC0434" w:rsidRDefault="00D85B8A" w:rsidP="00BC0434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</w:rPr>
        <w:br/>
      </w:r>
      <w:r w:rsidRPr="00BC0434">
        <w:rPr>
          <w:rFonts w:ascii="Times New Roman" w:hAnsi="Times New Roman" w:cs="Times New Roman"/>
        </w:rPr>
        <w:br/>
      </w:r>
      <w:r w:rsidRPr="00BC0434">
        <w:rPr>
          <w:rFonts w:ascii="Times New Roman" w:hAnsi="Times New Roman" w:cs="Times New Roman"/>
        </w:rPr>
        <w:br/>
        <w:t>Carlos Noel Ojeda Angulo, A01741085</w:t>
      </w:r>
      <w:r w:rsidRPr="00BC0434">
        <w:rPr>
          <w:rFonts w:ascii="Times New Roman" w:hAnsi="Times New Roman" w:cs="Times New Roman"/>
        </w:rPr>
        <w:br/>
      </w:r>
      <w:r w:rsidRPr="00BC0434">
        <w:rPr>
          <w:rFonts w:ascii="Times New Roman" w:hAnsi="Times New Roman" w:cs="Times New Roman"/>
        </w:rPr>
        <w:br/>
      </w:r>
      <w:r w:rsidRPr="00BC0434">
        <w:rPr>
          <w:rFonts w:ascii="Times New Roman" w:hAnsi="Times New Roman" w:cs="Times New Roman"/>
        </w:rPr>
        <w:br/>
      </w:r>
      <w:r w:rsidRPr="00BC0434">
        <w:rPr>
          <w:rFonts w:ascii="Times New Roman" w:hAnsi="Times New Roman" w:cs="Times New Roman"/>
        </w:rPr>
        <w:br/>
      </w:r>
    </w:p>
    <w:p w14:paraId="2A5BB05E" w14:textId="77777777" w:rsidR="00D85B8A" w:rsidRPr="00BC0434" w:rsidRDefault="00D85B8A" w:rsidP="00BC0434">
      <w:pPr>
        <w:spacing w:line="360" w:lineRule="auto"/>
        <w:jc w:val="center"/>
        <w:rPr>
          <w:rFonts w:ascii="Times New Roman" w:hAnsi="Times New Roman" w:cs="Times New Roman"/>
        </w:rPr>
      </w:pPr>
    </w:p>
    <w:p w14:paraId="2EBBD3AA" w14:textId="77777777" w:rsidR="00D85B8A" w:rsidRPr="00BC0434" w:rsidRDefault="00D85B8A" w:rsidP="00BC0434">
      <w:pPr>
        <w:spacing w:line="360" w:lineRule="auto"/>
        <w:jc w:val="center"/>
        <w:rPr>
          <w:rFonts w:ascii="Times New Roman" w:hAnsi="Times New Roman" w:cs="Times New Roman"/>
        </w:rPr>
      </w:pPr>
    </w:p>
    <w:p w14:paraId="6ED8B153" w14:textId="77777777" w:rsidR="00D85B8A" w:rsidRPr="00BC0434" w:rsidRDefault="00D85B8A" w:rsidP="00BC0434">
      <w:pPr>
        <w:spacing w:line="360" w:lineRule="auto"/>
        <w:jc w:val="center"/>
        <w:rPr>
          <w:rFonts w:ascii="Times New Roman" w:hAnsi="Times New Roman" w:cs="Times New Roman"/>
        </w:rPr>
      </w:pPr>
    </w:p>
    <w:p w14:paraId="1A89C9BD" w14:textId="77777777" w:rsidR="00D85B8A" w:rsidRPr="00BC0434" w:rsidRDefault="00D85B8A" w:rsidP="00BC0434">
      <w:pPr>
        <w:spacing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</w:rPr>
        <w:t xml:space="preserve">11 de </w:t>
      </w:r>
      <w:proofErr w:type="spellStart"/>
      <w:r w:rsidRPr="00BC0434">
        <w:rPr>
          <w:rFonts w:ascii="Times New Roman" w:hAnsi="Times New Roman" w:cs="Times New Roman"/>
        </w:rPr>
        <w:t>Octubre</w:t>
      </w:r>
      <w:proofErr w:type="spellEnd"/>
      <w:r w:rsidRPr="00BC0434">
        <w:rPr>
          <w:rFonts w:ascii="Times New Roman" w:hAnsi="Times New Roman" w:cs="Times New Roman"/>
        </w:rPr>
        <w:t xml:space="preserve"> de 2026</w:t>
      </w:r>
    </w:p>
    <w:p w14:paraId="00B0B12B" w14:textId="77777777" w:rsidR="00D85B8A" w:rsidRPr="00BC0434" w:rsidRDefault="00D85B8A" w:rsidP="00BC0434">
      <w:pPr>
        <w:spacing w:after="40" w:line="360" w:lineRule="auto"/>
        <w:jc w:val="center"/>
        <w:rPr>
          <w:rFonts w:ascii="Times New Roman" w:hAnsi="Times New Roman" w:cs="Times New Roman"/>
          <w:b/>
          <w:color w:val="1A1A1A"/>
        </w:rPr>
      </w:pPr>
    </w:p>
    <w:p w14:paraId="5532D785" w14:textId="77777777" w:rsidR="00D85B8A" w:rsidRPr="00BC0434" w:rsidRDefault="00D85B8A" w:rsidP="00BC0434">
      <w:pPr>
        <w:spacing w:after="40" w:line="360" w:lineRule="auto"/>
        <w:jc w:val="center"/>
        <w:rPr>
          <w:rFonts w:ascii="Times New Roman" w:hAnsi="Times New Roman" w:cs="Times New Roman"/>
          <w:b/>
          <w:color w:val="1A1A1A"/>
        </w:rPr>
      </w:pPr>
    </w:p>
    <w:p w14:paraId="12DDC73D" w14:textId="77777777" w:rsidR="001D751B" w:rsidRPr="00BC0434" w:rsidRDefault="00000000" w:rsidP="00BC0434">
      <w:pPr>
        <w:spacing w:after="120" w:line="360" w:lineRule="auto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b/>
          <w:color w:val="1A1A1A"/>
        </w:rPr>
        <w:t>1. Entrega y repositorio</w:t>
      </w:r>
    </w:p>
    <w:p w14:paraId="6131331E" w14:textId="48042854" w:rsidR="001D751B" w:rsidRPr="00BC0434" w:rsidRDefault="00000000" w:rsidP="00BC043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 xml:space="preserve">Repositorio individual (accesible para el </w:t>
      </w:r>
      <w:proofErr w:type="spellStart"/>
      <w:r w:rsidRPr="00BC0434">
        <w:rPr>
          <w:rFonts w:ascii="Times New Roman" w:hAnsi="Times New Roman" w:cs="Times New Roman"/>
          <w:color w:val="1A1A1A"/>
        </w:rPr>
        <w:t>profesor</w:t>
      </w:r>
      <w:proofErr w:type="spellEnd"/>
      <w:r w:rsidRPr="00BC0434">
        <w:rPr>
          <w:rFonts w:ascii="Times New Roman" w:hAnsi="Times New Roman" w:cs="Times New Roman"/>
          <w:color w:val="1A1A1A"/>
        </w:rPr>
        <w:t xml:space="preserve">): </w:t>
      </w:r>
      <w:hyperlink r:id="rId7" w:history="1">
        <w:r w:rsidR="00D85B8A" w:rsidRPr="00BC0434">
          <w:rPr>
            <w:rStyle w:val="Hyperlink"/>
            <w:rFonts w:ascii="Times New Roman" w:hAnsi="Times New Roman" w:cs="Times New Roman"/>
            <w:b/>
          </w:rPr>
          <w:t>https://github.com/Carlos-Ojeda/TC5061.10</w:t>
        </w:r>
      </w:hyperlink>
      <w:r w:rsidR="00D85B8A" w:rsidRPr="00BC0434">
        <w:rPr>
          <w:rFonts w:ascii="Times New Roman" w:hAnsi="Times New Roman" w:cs="Times New Roman"/>
          <w:b/>
          <w:color w:val="1A1A1A"/>
        </w:rPr>
        <w:t xml:space="preserve"> </w:t>
      </w:r>
      <w:proofErr w:type="spellStart"/>
      <w:r w:rsidRPr="00BC0434">
        <w:rPr>
          <w:rFonts w:ascii="Times New Roman" w:hAnsi="Times New Roman" w:cs="Times New Roman"/>
          <w:color w:val="1A1A1A"/>
        </w:rPr>
        <w:t>Contiene</w:t>
      </w:r>
      <w:proofErr w:type="spellEnd"/>
      <w:r w:rsidRPr="00BC0434">
        <w:rPr>
          <w:rFonts w:ascii="Times New Roman" w:hAnsi="Times New Roman" w:cs="Times New Roman"/>
          <w:color w:val="1A1A1A"/>
        </w:rPr>
        <w:t xml:space="preserve"> train.py, requirements.txt, el dataset, el notebook de exploración y este README de ejecución.</w:t>
      </w:r>
    </w:p>
    <w:p w14:paraId="3782FC70" w14:textId="77777777" w:rsidR="001D751B" w:rsidRPr="00BC0434" w:rsidRDefault="00000000" w:rsidP="00BC043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El notebook de la semana anterior se conserva solo para el análisis exploratorio. La carga, la limpieza, el entrenamiento, la evaluación y el registro viven ahora en un script ejecutable, organizado en funciones con una responsabilidad cada una: parse_args, load_dataset, clean_dataset, split_features, build_pipeline, evaluate_regression y log_run.</w:t>
      </w:r>
    </w:p>
    <w:p w14:paraId="371B15CD" w14:textId="77777777" w:rsidR="001D751B" w:rsidRPr="00BC0434" w:rsidRDefault="00000000" w:rsidP="00BC0434">
      <w:pPr>
        <w:spacing w:after="120" w:line="360" w:lineRule="auto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b/>
          <w:color w:val="1A1A1A"/>
        </w:rPr>
        <w:t>2. Comando de ejecución</w:t>
      </w:r>
    </w:p>
    <w:p w14:paraId="25202D65" w14:textId="77777777" w:rsidR="001D751B" w:rsidRPr="00BC0434" w:rsidRDefault="00000000" w:rsidP="00BC043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El script corre con valores por defecto si no se pasa ningún argumento. Los hiperparámetros expuestos son --alpha, --fit-intercept / --no-fit-intercept, --solver y la semilla --seed.</w:t>
      </w:r>
    </w:p>
    <w:p w14:paraId="5E7A3FF3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python train.py</w:t>
      </w:r>
    </w:p>
    <w:p w14:paraId="12F43954" w14:textId="77777777" w:rsidR="001D751B" w:rsidRPr="00BC0434" w:rsidRDefault="00000000" w:rsidP="00BC0434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Corridas comparadas bajo el experimento TC5061_Wine_Quality_Experimentacion:</w:t>
      </w:r>
    </w:p>
    <w:p w14:paraId="3E47FC25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python train.py --run-name ridge_default</w:t>
      </w:r>
    </w:p>
    <w:p w14:paraId="6AA0ECDB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python train.py --alpha 0.01 --run-name ridge_alpha_0.01</w:t>
      </w:r>
    </w:p>
    <w:p w14:paraId="3AAB9075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python train.py --alpha 10 --run-name ridge_alpha_10</w:t>
      </w:r>
    </w:p>
    <w:p w14:paraId="62D1BEDB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python train.py --alpha 100 --run-name ridge_alpha_100</w:t>
      </w:r>
    </w:p>
    <w:p w14:paraId="2393B60C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python train.py --no-fit-intercept --run-name ridge_sin_intercepto</w:t>
      </w:r>
    </w:p>
    <w:p w14:paraId="74BB9FB5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python train.py --alpha 1 --solver saga --run-name ridge_solver_saga</w:t>
      </w:r>
    </w:p>
    <w:p w14:paraId="5CEAC92E" w14:textId="77777777" w:rsidR="001D751B" w:rsidRPr="00BC0434" w:rsidRDefault="00000000" w:rsidP="00BC0434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Interfaz de comparación:</w:t>
      </w:r>
    </w:p>
    <w:p w14:paraId="3634CF3D" w14:textId="77777777" w:rsidR="001D751B" w:rsidRPr="00BC0434" w:rsidRDefault="00000000" w:rsidP="00BC0434">
      <w:pPr>
        <w:spacing w:after="120" w:line="360" w:lineRule="auto"/>
        <w:ind w:left="283"/>
        <w:rPr>
          <w:rFonts w:cs="Arial"/>
          <w:color w:val="808080" w:themeColor="background1" w:themeShade="80"/>
        </w:rPr>
      </w:pPr>
      <w:r w:rsidRPr="00BC0434">
        <w:rPr>
          <w:rFonts w:eastAsia="Consolas" w:cs="Arial"/>
          <w:color w:val="808080" w:themeColor="background1" w:themeShade="80"/>
        </w:rPr>
        <w:t>mlflow ui --backend-store-uri sqlite:///mlflow.db --port 5000</w:t>
      </w:r>
    </w:p>
    <w:p w14:paraId="22FF35B9" w14:textId="77777777" w:rsidR="001D751B" w:rsidRPr="00BC0434" w:rsidRDefault="00000000" w:rsidP="00BC0434">
      <w:pPr>
        <w:spacing w:after="120" w:line="360" w:lineRule="auto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b/>
          <w:color w:val="1A1A1A"/>
        </w:rPr>
        <w:t>3. Instrumentación y reproducibilidad</w:t>
      </w:r>
    </w:p>
    <w:p w14:paraId="33BCB686" w14:textId="77777777" w:rsidR="001D751B" w:rsidRPr="00BC0434" w:rsidRDefault="00000000" w:rsidP="00BC043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Cada corrida abre mlflow.start_run() y registra los hiperparámetros con log_param, tres métricas de prueba (MAE, RMSE y R²) con log_metric, dos artefactos (gráfica de residuos y metrics.json) con log_artifact, y el pipeline entrenado con mlflow.sklearn.log_model. El tracking usa SQLite para evitar el FileStore bloqueado en MLflow 3.16. La semilla 42 se fija en random, NumPy, train_test_split y Ridge. Dos ejecuciones con los mismos argumentos (ridge_default y ridge_default_repro) produjeron exactamente MAE = 0.506626, RMSE = 0.652344 y R² = 0.365636. Las versiones quedan ancladas en requirements.txt (pandas 3.0.6, scikit-learn 1.9.1, MLflow 3.16.1, matplotlib 3.11.2).</w:t>
      </w:r>
    </w:p>
    <w:p w14:paraId="69B314FC" w14:textId="77777777" w:rsidR="001D751B" w:rsidRPr="00BC0434" w:rsidRDefault="00000000" w:rsidP="00BC0434">
      <w:pPr>
        <w:spacing w:after="120" w:line="360" w:lineRule="auto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b/>
          <w:color w:val="1A1A1A"/>
        </w:rPr>
        <w:lastRenderedPageBreak/>
        <w:t>4. Análisis de resultados</w:t>
      </w:r>
    </w:p>
    <w:p w14:paraId="1638ED61" w14:textId="77777777" w:rsidR="001D751B" w:rsidRPr="00BC0434" w:rsidRDefault="00000000" w:rsidP="00BC043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Se partió del baseline de regresión lineal del notebook (vino tinto de UCI, 1 359 filas tras eliminar 240 duplicados, partición 80/20 estratificada). LinearRegression no expone hiperparámetros suficientes para una comparación sistemática, así que el script usa Ridge: es el sucesor natural del OLS y permite variar la regularización L2 sin cambiar el resto del pipeline (imputación por mediana y StandardScaler).</w:t>
      </w:r>
    </w:p>
    <w:p w14:paraId="20F74FF2" w14:textId="77777777" w:rsidR="001D751B" w:rsidRPr="00BC0434" w:rsidRDefault="00000000" w:rsidP="00BC043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La mejor configuración fue ridge_alpha_0.01: alpha = 0.01, intercepto activo, solver auto y seed = 42. Obtuvo MAE = 0.5066, RMSE = 0.6523 y R² = 0.3657. El default (alpha = 1.0) quedó a milésimas (MAE = 0.5066, R² = 0.3656) y saga reprodujo el mismo desempeño. Subir alpha a 10 y 100 empeoró de forma monótona el error (MAE 0.5073 y 0.5135). Quitar el intercepto derrumbó el modelo: MAE = 5.6126 y R² = −46.59. Por tanto, el hiperparámetro más influyente no fue alpha, sino fit_intercept. En un objetivo como quality, centrado cerca de 5–6 y no en cero, el sesgo del modelo es indispensable; la regularización L2 apenas mueve las métricas en este rango porque las 11 variables ya están estandarizadas y el problema es poco sensible a un ridge suave.</w:t>
      </w:r>
    </w:p>
    <w:p w14:paraId="4AC2C91C" w14:textId="77777777" w:rsidR="001D751B" w:rsidRPr="00BC0434" w:rsidRDefault="00000000" w:rsidP="00BC0434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 xml:space="preserve">Limitaciones. Primero, quality es ordinal (enteros de 3 </w:t>
      </w:r>
      <w:proofErr w:type="gramStart"/>
      <w:r w:rsidRPr="00BC0434">
        <w:rPr>
          <w:rFonts w:ascii="Times New Roman" w:hAnsi="Times New Roman" w:cs="Times New Roman"/>
          <w:color w:val="1A1A1A"/>
        </w:rPr>
        <w:t>a</w:t>
      </w:r>
      <w:proofErr w:type="gramEnd"/>
      <w:r w:rsidRPr="00BC0434">
        <w:rPr>
          <w:rFonts w:ascii="Times New Roman" w:hAnsi="Times New Roman" w:cs="Times New Roman"/>
          <w:color w:val="1A1A1A"/>
        </w:rPr>
        <w:t xml:space="preserve"> 8) y se modeló como continuo: el residual se agrupa en bandas y el R² ronda 0.37, igual que el OLS del notebook. Segundo, se usó una sola partición y no validación cruzada, así que la ventaja de alpha = 0.01 sobre alpha = 1.0 puede ser ruido de esa muestra. Tercero, el experimento cubre solo vino tinto y un modelo lineal; no explora interacciones ni no linealidades. La evidencia registrada, sin embargo, ya basta para descartar con seguridad la variante sin intercepto y para no perseguir alphas grandes: el siguiente paso debería ser otro tipo de modelo (por ejemplo un ensamble), no más búsqueda dentro de Ridge.</w:t>
      </w:r>
    </w:p>
    <w:p w14:paraId="2DAA1AFA" w14:textId="77777777" w:rsidR="001D751B" w:rsidRPr="00BC0434" w:rsidRDefault="00000000" w:rsidP="00BC0434">
      <w:pPr>
        <w:spacing w:after="120" w:line="360" w:lineRule="auto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b/>
          <w:color w:val="1A1A1A"/>
        </w:rPr>
        <w:t>5. Evidencias de MLflow</w:t>
      </w:r>
    </w:p>
    <w:p w14:paraId="71D9C08F" w14:textId="77777777" w:rsidR="001D751B" w:rsidRPr="00BC0434" w:rsidRDefault="00000000" w:rsidP="00BC0434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color w:val="1A1A1A"/>
        </w:rPr>
        <w:t>Las capturas siguientes documentan la tabla comparativa del experimento y el detalle de la mejor corrida, incluyendo parámetros, métricas y el artefacto de residuos.</w:t>
      </w:r>
    </w:p>
    <w:p w14:paraId="49BD22B0" w14:textId="77777777" w:rsidR="001D751B" w:rsidRPr="00BC0434" w:rsidRDefault="00000000" w:rsidP="00BC0434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A86280" wp14:editId="3DD7863E">
            <wp:extent cx="5760720" cy="5655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_comparacion_corrid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93A0" w14:textId="77777777" w:rsidR="001D751B" w:rsidRPr="00BC0434" w:rsidRDefault="00000000" w:rsidP="00BC0434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i/>
          <w:color w:val="1A1A1A"/>
        </w:rPr>
        <w:t>Figura 1. Vista de comparación de las siete corridas en MLflow Tracking. Se observan test_mae, test_r2, test_rmse y alpha bajo el experimento TC5061_Wine_Quality_Experimentacion.</w:t>
      </w:r>
    </w:p>
    <w:p w14:paraId="30744B3A" w14:textId="77777777" w:rsidR="001D751B" w:rsidRPr="00BC0434" w:rsidRDefault="00000000" w:rsidP="00BC0434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45C5C7" wp14:editId="5FC1212F">
            <wp:extent cx="5760720" cy="565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_detalle_corri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AB56" w14:textId="77777777" w:rsidR="001D751B" w:rsidRPr="00BC0434" w:rsidRDefault="00000000" w:rsidP="00BC0434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i/>
          <w:color w:val="1A1A1A"/>
        </w:rPr>
        <w:t>Figura 2. Detalle de la mejor corrida (ridge_alpha_0.01): tres métricas, diez parámetros y el modelo ridge_pipeline registrado.</w:t>
      </w:r>
    </w:p>
    <w:p w14:paraId="7B97F614" w14:textId="77777777" w:rsidR="001D751B" w:rsidRPr="00BC0434" w:rsidRDefault="00000000" w:rsidP="00BC0434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22E344" wp14:editId="48755D5A">
            <wp:extent cx="5760720" cy="5655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_detalle_artefa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566E" w14:textId="77777777" w:rsidR="001D751B" w:rsidRPr="00BC0434" w:rsidRDefault="00000000" w:rsidP="00BC0434">
      <w:pPr>
        <w:spacing w:after="160" w:line="360" w:lineRule="auto"/>
        <w:jc w:val="center"/>
        <w:rPr>
          <w:rFonts w:ascii="Times New Roman" w:hAnsi="Times New Roman" w:cs="Times New Roman"/>
        </w:rPr>
      </w:pPr>
      <w:r w:rsidRPr="00BC0434">
        <w:rPr>
          <w:rFonts w:ascii="Times New Roman" w:hAnsi="Times New Roman" w:cs="Times New Roman"/>
          <w:i/>
          <w:color w:val="1A1A1A"/>
        </w:rPr>
        <w:t>Figura 3. Pestaña Artifacts de la misma corrida: carpeta plots con residuals.png y vista previa de la gráfica registrada con log_artifact.</w:t>
      </w:r>
    </w:p>
    <w:sectPr w:rsidR="001D751B" w:rsidRPr="00BC043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828825">
    <w:abstractNumId w:val="8"/>
  </w:num>
  <w:num w:numId="2" w16cid:durableId="1191525261">
    <w:abstractNumId w:val="6"/>
  </w:num>
  <w:num w:numId="3" w16cid:durableId="214661522">
    <w:abstractNumId w:val="5"/>
  </w:num>
  <w:num w:numId="4" w16cid:durableId="1575895786">
    <w:abstractNumId w:val="4"/>
  </w:num>
  <w:num w:numId="5" w16cid:durableId="908073423">
    <w:abstractNumId w:val="7"/>
  </w:num>
  <w:num w:numId="6" w16cid:durableId="1659073704">
    <w:abstractNumId w:val="3"/>
  </w:num>
  <w:num w:numId="7" w16cid:durableId="49040337">
    <w:abstractNumId w:val="2"/>
  </w:num>
  <w:num w:numId="8" w16cid:durableId="1828979590">
    <w:abstractNumId w:val="1"/>
  </w:num>
  <w:num w:numId="9" w16cid:durableId="5851910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51B"/>
    <w:rsid w:val="0029639D"/>
    <w:rsid w:val="00326F90"/>
    <w:rsid w:val="007B52DB"/>
    <w:rsid w:val="00AA1D8D"/>
    <w:rsid w:val="00B47730"/>
    <w:rsid w:val="00BC0434"/>
    <w:rsid w:val="00CB0664"/>
    <w:rsid w:val="00D85B8A"/>
    <w:rsid w:val="00E50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E1438"/>
  <w14:defaultImageDpi w14:val="300"/>
  <w15:docId w15:val="{F9AC786A-3F29-8C40-B71A-713D4680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5B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Carlos-Ojeda/TC5061.1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Noel Ojeda Angulo</cp:lastModifiedBy>
  <cp:revision>3</cp:revision>
  <dcterms:created xsi:type="dcterms:W3CDTF">2026-10-12T05:53:00Z</dcterms:created>
  <dcterms:modified xsi:type="dcterms:W3CDTF">2026-10-12T05:54:00Z</dcterms:modified>
  <cp:category/>
</cp:coreProperties>
</file>