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40" w:before="0"/>
        <w:jc w:val="center"/>
      </w:pPr>
      <w:r>
        <w:rPr>
          <w:rFonts w:ascii="Arial" w:hAnsi="Arial" w:eastAsia="Arial" w:cs="Arial"/>
          <w:b/>
          <w:i w:val="0"/>
          <w:color w:val="1A1A1A"/>
          <w:sz w:val="32"/>
        </w:rPr>
        <w:t>TC5061 | Código de experimentación base con MLflow</w:t>
      </w:r>
    </w:p>
    <w:p>
      <w:pPr>
        <w:spacing w:line="360" w:lineRule="auto" w:after="200" w:before="0"/>
        <w:jc w:val="center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Carlos Ojeda  ·  A01741085  ·  11 de octubre de 2026</w:t>
      </w:r>
    </w:p>
    <w:p>
      <w:pPr>
        <w:spacing w:line="360" w:lineRule="auto" w:after="120" w:before="0"/>
        <w:jc w:val="left"/>
      </w:pPr>
      <w:r>
        <w:rPr>
          <w:rFonts w:ascii="Arial" w:hAnsi="Arial" w:eastAsia="Arial" w:cs="Arial"/>
          <w:b/>
          <w:i w:val="0"/>
          <w:color w:val="1A1A1A"/>
          <w:sz w:val="26"/>
        </w:rPr>
        <w:t>1. Entrega y repositorio</w:t>
      </w:r>
    </w:p>
    <w:p>
      <w:pPr>
        <w:spacing w:line="360" w:lineRule="auto" w:after="16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 xml:space="preserve">Repositorio individual (accesible para el profesor): </w:t>
      </w:r>
      <w:r>
        <w:rPr>
          <w:rFonts w:ascii="Arial" w:hAnsi="Arial" w:eastAsia="Arial" w:cs="Arial"/>
          <w:b/>
          <w:i w:val="0"/>
          <w:color w:val="1A1A1A"/>
          <w:sz w:val="22"/>
        </w:rPr>
        <w:t>https://github.com/Carlos-Ojeda/TC5061_Experimentacion_MLFlow</w:t>
      </w:r>
      <w:r>
        <w:rPr>
          <w:rFonts w:ascii="Arial" w:hAnsi="Arial" w:eastAsia="Arial" w:cs="Arial"/>
          <w:b w:val="0"/>
          <w:i w:val="0"/>
          <w:color w:val="1A1A1A"/>
          <w:sz w:val="22"/>
        </w:rPr>
        <w:t>. Contiene train.py, requirements.txt, el dataset, el notebook de exploración y este README de ejecución.</w:t>
      </w:r>
    </w:p>
    <w:p>
      <w:pPr>
        <w:spacing w:line="360" w:lineRule="auto" w:after="160" w:before="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El notebook de la semana anterior se conserva solo para el análisis exploratorio. La carga, la limpieza, el entrenamiento, la evaluación y el registro viven ahora en un script ejecutable, organizado en funciones con una responsabilidad cada una: parse_args, load_dataset, clean_dataset, split_features, build_pipeline, evaluate_regression y log_run.</w:t>
      </w:r>
    </w:p>
    <w:p>
      <w:pPr>
        <w:spacing w:line="360" w:lineRule="auto" w:after="120" w:before="0"/>
        <w:jc w:val="left"/>
      </w:pPr>
      <w:r>
        <w:rPr>
          <w:rFonts w:ascii="Arial" w:hAnsi="Arial" w:eastAsia="Arial" w:cs="Arial"/>
          <w:b/>
          <w:i w:val="0"/>
          <w:color w:val="1A1A1A"/>
          <w:sz w:val="26"/>
        </w:rPr>
        <w:t>2. Comando de ejecución</w:t>
      </w:r>
    </w:p>
    <w:p>
      <w:pPr>
        <w:spacing w:line="360" w:lineRule="auto" w:after="160" w:before="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El script corre con valores por defecto si no se pasa ningún argumento. Los hiperparámetros expuestos son --alpha, --fit-intercept / --no-fit-intercept, --solver y la semilla --seed.</w:t>
      </w:r>
    </w:p>
    <w:p>
      <w:pPr>
        <w:spacing w:line="276" w:lineRule="auto" w:after="120"/>
        <w:ind w:left="283"/>
        <w:jc w:val="left"/>
      </w:pPr>
      <w:r>
        <w:rPr>
          <w:rFonts w:ascii="Consolas" w:hAnsi="Consolas" w:eastAsia="Consolas" w:cs="Consolas"/>
          <w:b w:val="0"/>
          <w:i w:val="0"/>
          <w:color w:val="1A1A1A"/>
          <w:sz w:val="20"/>
        </w:rPr>
        <w:t>python train.py</w:t>
      </w:r>
    </w:p>
    <w:p>
      <w:pPr>
        <w:spacing w:line="360" w:lineRule="auto" w:after="80" w:before="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Corridas comparadas bajo el experimento TC5061_Wine_Quality_Experimentacion:</w:t>
      </w:r>
    </w:p>
    <w:p>
      <w:pPr>
        <w:spacing w:line="276" w:lineRule="auto" w:after="120"/>
        <w:ind w:left="283"/>
        <w:jc w:val="left"/>
      </w:pPr>
      <w:r>
        <w:rPr>
          <w:rFonts w:ascii="Consolas" w:hAnsi="Consolas" w:eastAsia="Consolas" w:cs="Consolas"/>
          <w:b w:val="0"/>
          <w:i w:val="0"/>
          <w:color w:val="1A1A1A"/>
          <w:sz w:val="20"/>
        </w:rPr>
        <w:t>python train.py --run-name ridge_default</w:t>
      </w:r>
    </w:p>
    <w:p>
      <w:pPr>
        <w:spacing w:line="276" w:lineRule="auto" w:after="120"/>
        <w:ind w:left="283"/>
        <w:jc w:val="left"/>
      </w:pPr>
      <w:r>
        <w:rPr>
          <w:rFonts w:ascii="Consolas" w:hAnsi="Consolas" w:eastAsia="Consolas" w:cs="Consolas"/>
          <w:b w:val="0"/>
          <w:i w:val="0"/>
          <w:color w:val="1A1A1A"/>
          <w:sz w:val="20"/>
        </w:rPr>
        <w:t>python train.py --alpha 0.01 --run-name ridge_alpha_0.01</w:t>
      </w:r>
    </w:p>
    <w:p>
      <w:pPr>
        <w:spacing w:line="276" w:lineRule="auto" w:after="120"/>
        <w:ind w:left="283"/>
        <w:jc w:val="left"/>
      </w:pPr>
      <w:r>
        <w:rPr>
          <w:rFonts w:ascii="Consolas" w:hAnsi="Consolas" w:eastAsia="Consolas" w:cs="Consolas"/>
          <w:b w:val="0"/>
          <w:i w:val="0"/>
          <w:color w:val="1A1A1A"/>
          <w:sz w:val="20"/>
        </w:rPr>
        <w:t>python train.py --alpha 10 --run-name ridge_alpha_10</w:t>
      </w:r>
    </w:p>
    <w:p>
      <w:pPr>
        <w:spacing w:line="276" w:lineRule="auto" w:after="120"/>
        <w:ind w:left="283"/>
        <w:jc w:val="left"/>
      </w:pPr>
      <w:r>
        <w:rPr>
          <w:rFonts w:ascii="Consolas" w:hAnsi="Consolas" w:eastAsia="Consolas" w:cs="Consolas"/>
          <w:b w:val="0"/>
          <w:i w:val="0"/>
          <w:color w:val="1A1A1A"/>
          <w:sz w:val="20"/>
        </w:rPr>
        <w:t>python train.py --alpha 100 --run-name ridge_alpha_100</w:t>
      </w:r>
    </w:p>
    <w:p>
      <w:pPr>
        <w:spacing w:line="276" w:lineRule="auto" w:after="120"/>
        <w:ind w:left="283"/>
        <w:jc w:val="left"/>
      </w:pPr>
      <w:r>
        <w:rPr>
          <w:rFonts w:ascii="Consolas" w:hAnsi="Consolas" w:eastAsia="Consolas" w:cs="Consolas"/>
          <w:b w:val="0"/>
          <w:i w:val="0"/>
          <w:color w:val="1A1A1A"/>
          <w:sz w:val="20"/>
        </w:rPr>
        <w:t>python train.py --no-fit-intercept --run-name ridge_sin_intercepto</w:t>
      </w:r>
    </w:p>
    <w:p>
      <w:pPr>
        <w:spacing w:line="276" w:lineRule="auto" w:after="120"/>
        <w:ind w:left="283"/>
        <w:jc w:val="left"/>
      </w:pPr>
      <w:r>
        <w:rPr>
          <w:rFonts w:ascii="Consolas" w:hAnsi="Consolas" w:eastAsia="Consolas" w:cs="Consolas"/>
          <w:b w:val="0"/>
          <w:i w:val="0"/>
          <w:color w:val="1A1A1A"/>
          <w:sz w:val="20"/>
        </w:rPr>
        <w:t>python train.py --alpha 1 --solver saga --run-name ridge_solver_saga</w:t>
      </w:r>
    </w:p>
    <w:p>
      <w:pPr>
        <w:spacing w:line="360" w:lineRule="auto" w:after="80" w:before="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Interfaz de comparación:</w:t>
      </w:r>
    </w:p>
    <w:p>
      <w:pPr>
        <w:spacing w:line="276" w:lineRule="auto" w:after="120"/>
        <w:ind w:left="283"/>
        <w:jc w:val="left"/>
      </w:pPr>
      <w:r>
        <w:rPr>
          <w:rFonts w:ascii="Consolas" w:hAnsi="Consolas" w:eastAsia="Consolas" w:cs="Consolas"/>
          <w:b w:val="0"/>
          <w:i w:val="0"/>
          <w:color w:val="1A1A1A"/>
          <w:sz w:val="20"/>
        </w:rPr>
        <w:t>mlflow ui --backend-store-uri sqlite:///mlflow.db --port 5000</w:t>
      </w:r>
    </w:p>
    <w:p>
      <w:pPr>
        <w:spacing w:line="360" w:lineRule="auto" w:after="120" w:before="0"/>
        <w:jc w:val="left"/>
      </w:pPr>
      <w:r>
        <w:rPr>
          <w:rFonts w:ascii="Arial" w:hAnsi="Arial" w:eastAsia="Arial" w:cs="Arial"/>
          <w:b/>
          <w:i w:val="0"/>
          <w:color w:val="1A1A1A"/>
          <w:sz w:val="26"/>
        </w:rPr>
        <w:t>3. Instrumentación y reproducibilidad</w:t>
      </w:r>
    </w:p>
    <w:p>
      <w:pPr>
        <w:spacing w:line="360" w:lineRule="auto" w:after="160" w:before="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Cada corrida abre mlflow.start_run() y registra los hiperparámetros con log_param, tres métricas de prueba (MAE, RMSE y R²) con log_metric, dos artefactos (gráfica de residuos y metrics.json) con log_artifact, y el pipeline entrenado con mlflow.sklearn.log_model. El tracking usa SQLite para evitar el FileStore bloqueado en MLflow 3.16. La semilla 42 se fija en random, NumPy, train_test_split y Ridge. Dos ejecuciones con los mismos argumentos (ridge_default y ridge_default_repro) produjeron exactamente MAE = 0.506626, RMSE = 0.652344 y R² = 0.365636. Las versiones quedan ancladas en requirements.txt (pandas 3.0.6, scikit-learn 1.9.1, MLflow 3.16.1, matplotlib 3.11.2).</w:t>
      </w:r>
    </w:p>
    <w:p>
      <w:pPr>
        <w:spacing w:line="360" w:lineRule="auto" w:after="120" w:before="0"/>
        <w:jc w:val="left"/>
      </w:pPr>
      <w:r>
        <w:rPr>
          <w:rFonts w:ascii="Arial" w:hAnsi="Arial" w:eastAsia="Arial" w:cs="Arial"/>
          <w:b/>
          <w:i w:val="0"/>
          <w:color w:val="1A1A1A"/>
          <w:sz w:val="26"/>
        </w:rPr>
        <w:t>4. Análisis de resultados</w:t>
      </w:r>
    </w:p>
    <w:p>
      <w:pPr>
        <w:spacing w:line="360" w:lineRule="auto" w:after="160" w:before="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Se partió del baseline de regresión lineal del notebook (vino tinto de UCI, 1 359 filas tras eliminar 240 duplicados, partición 80/20 estratificada). LinearRegression no expone hiperparámetros suficientes para una comparación sistemática, así que el script usa Ridge: es el sucesor natural del OLS y permite variar la regularización L2 sin cambiar el resto del pipeline (imputación por mediana y StandardScaler).</w:t>
      </w:r>
    </w:p>
    <w:p>
      <w:pPr>
        <w:spacing w:line="360" w:lineRule="auto" w:after="160" w:before="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La mejor configuración fue ridge_alpha_0.01: alpha = 0.01, intercepto activo, solver auto y seed = 42. Obtuvo MAE = 0.5066, RMSE = 0.6523 y R² = 0.3657. El default (alpha = 1.0) quedó a milésimas (MAE = 0.5066, R² = 0.3656) y saga reprodujo el mismo desempeño. Subir alpha a 10 y 100 empeoró de forma monótona el error (MAE 0.5073 y 0.5135). Quitar el intercepto derrumbó el modelo: MAE = 5.6126 y R² = −46.59. Por tanto, el hiperparámetro más influyente no fue alpha, sino fit_intercept. En un objetivo como quality, centrado cerca de 5–6 y no en cero, el sesgo del modelo es indispensable; la regularización L2 apenas mueve las métricas en este rango porque las 11 variables ya están estandarizadas y el problema es poco sensible a un ridge suave.</w:t>
      </w:r>
    </w:p>
    <w:p>
      <w:pPr>
        <w:spacing w:line="360" w:lineRule="auto" w:after="160" w:before="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Limitaciones. Primero, quality es ordinal (enteros de 3 a 8) y se modeló como continuo: el residual se agrupa en bandas y el R² ronda 0.37, igual que el OLS del notebook. Segundo, se usó una sola partición y no validación cruzada, así que la ventaja de alpha = 0.01 sobre alpha = 1.0 puede ser ruido de esa muestra. Tercero, el experimento cubre solo vino tinto y un modelo lineal; no explora interacciones ni no linealidades. La evidencia registrada, sin embargo, ya basta para descartar con seguridad la variante sin intercepto y para no perseguir alphas grandes: el siguiente paso debería ser otro tipo de modelo (por ejemplo un ensamble), no más búsqueda dentro de Ridge.</w:t>
      </w:r>
    </w:p>
    <w:p>
      <w:pPr>
        <w:spacing w:line="360" w:lineRule="auto" w:after="120" w:before="0"/>
        <w:jc w:val="left"/>
      </w:pPr>
      <w:r>
        <w:rPr>
          <w:rFonts w:ascii="Arial" w:hAnsi="Arial" w:eastAsia="Arial" w:cs="Arial"/>
          <w:b/>
          <w:i w:val="0"/>
          <w:color w:val="1A1A1A"/>
          <w:sz w:val="26"/>
        </w:rPr>
        <w:t>5. Evidencias de MLflow</w:t>
      </w:r>
    </w:p>
    <w:p>
      <w:pPr>
        <w:spacing w:line="360" w:lineRule="auto" w:after="120" w:before="0"/>
        <w:jc w:val="both"/>
      </w:pPr>
      <w:r>
        <w:rPr>
          <w:rFonts w:ascii="Arial" w:hAnsi="Arial" w:eastAsia="Arial" w:cs="Arial"/>
          <w:b w:val="0"/>
          <w:i w:val="0"/>
          <w:color w:val="1A1A1A"/>
          <w:sz w:val="22"/>
        </w:rPr>
        <w:t>Las capturas siguientes documentan la tabla comparativa del experimento y el detalle de la mejor corrida, incluyendo parámetros, métricas y el artefacto de residuos.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5655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comparacion_corrid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5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Arial" w:hAnsi="Arial" w:eastAsia="Arial" w:cs="Arial"/>
          <w:b w:val="0"/>
          <w:i/>
          <w:color w:val="1A1A1A"/>
          <w:sz w:val="18"/>
        </w:rPr>
        <w:t>Figura 1. Vista de comparación de las siete corridas en MLflow Tracking. Se observan test_mae, test_r2, test_rmse y alpha bajo el experimento TC5061_Wine_Quality_Experimentacion.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5655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detalle_corrida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5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Arial" w:hAnsi="Arial" w:eastAsia="Arial" w:cs="Arial"/>
          <w:b w:val="0"/>
          <w:i/>
          <w:color w:val="1A1A1A"/>
          <w:sz w:val="18"/>
        </w:rPr>
        <w:t>Figura 2. Detalle de la mejor corrida (ridge_alpha_0.01): tres métricas, diez parámetros y el modelo ridge_pipeline registrado.</w:t>
      </w:r>
    </w:p>
    <w:p>
      <w:pPr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56559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detalle_artefac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5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 w:before="0"/>
        <w:jc w:val="center"/>
      </w:pPr>
      <w:r>
        <w:rPr>
          <w:rFonts w:ascii="Arial" w:hAnsi="Arial" w:eastAsia="Arial" w:cs="Arial"/>
          <w:b w:val="0"/>
          <w:i/>
          <w:color w:val="1A1A1A"/>
          <w:sz w:val="18"/>
        </w:rPr>
        <w:t>Figura 3. Pestaña Artifacts de la misma corrida: carpeta plots con residuals.png y vista previa de la gráfica registrada con log_artifact.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