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2"/>
        <w:gridCol w:w="1087"/>
        <w:gridCol w:w="1327"/>
        <w:gridCol w:w="1267"/>
        <w:gridCol w:w="1267"/>
        <w:gridCol w:w="903"/>
        <w:gridCol w:w="984"/>
        <w:gridCol w:w="927"/>
      </w:tblGrid>
      <w:tr w:rsidR="00CF70CC" w:rsidRPr="00AE1A97" w14:paraId="61C43FC8" w14:textId="77777777" w:rsidTr="00CF70CC">
        <w:trPr>
          <w:cantSplit/>
          <w:trHeight w:val="1279"/>
        </w:trPr>
        <w:tc>
          <w:tcPr>
            <w:tcW w:w="429" w:type="pct"/>
            <w:shd w:val="clear" w:color="auto" w:fill="BFBFBF"/>
          </w:tcPr>
          <w:p w14:paraId="27470752" w14:textId="77777777" w:rsidR="00CF70CC" w:rsidRPr="00C35436" w:rsidRDefault="00CF70CC" w:rsidP="00085298">
            <w:pPr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Study reference</w:t>
            </w:r>
          </w:p>
        </w:tc>
        <w:tc>
          <w:tcPr>
            <w:tcW w:w="636" w:type="pct"/>
            <w:shd w:val="clear" w:color="auto" w:fill="BFBFBF"/>
          </w:tcPr>
          <w:p w14:paraId="6AF0A975" w14:textId="77777777" w:rsidR="00CF70CC" w:rsidRPr="00C35436" w:rsidRDefault="00CF70CC" w:rsidP="00085298">
            <w:pPr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Study characteristics</w:t>
            </w:r>
          </w:p>
        </w:tc>
        <w:tc>
          <w:tcPr>
            <w:tcW w:w="775" w:type="pct"/>
            <w:shd w:val="clear" w:color="auto" w:fill="BFBFBF"/>
          </w:tcPr>
          <w:p w14:paraId="2DA1D116" w14:textId="77777777" w:rsidR="00CF70CC" w:rsidRPr="00C35436" w:rsidRDefault="00CF70CC" w:rsidP="00085298">
            <w:pPr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 xml:space="preserve">Patient characteristics </w:t>
            </w:r>
            <w:r w:rsidRPr="00C35436">
              <w:rPr>
                <w:rFonts w:cs="Calibri"/>
                <w:b/>
                <w:sz w:val="16"/>
                <w:szCs w:val="16"/>
                <w:vertAlign w:val="superscript"/>
                <w:lang w:val="en-GB"/>
              </w:rPr>
              <w:t>2</w:t>
            </w: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740" w:type="pct"/>
            <w:shd w:val="clear" w:color="auto" w:fill="BFBFBF"/>
          </w:tcPr>
          <w:p w14:paraId="33DEFBE7" w14:textId="77777777" w:rsidR="00CF70CC" w:rsidRPr="00C35436" w:rsidRDefault="00CF70CC" w:rsidP="00085298">
            <w:pPr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Intervention (I)</w:t>
            </w:r>
          </w:p>
        </w:tc>
        <w:tc>
          <w:tcPr>
            <w:tcW w:w="740" w:type="pct"/>
            <w:shd w:val="clear" w:color="auto" w:fill="BFBFBF"/>
          </w:tcPr>
          <w:p w14:paraId="0C72AEA1" w14:textId="77777777" w:rsidR="00CF70CC" w:rsidRPr="00C35436" w:rsidRDefault="00CF70CC" w:rsidP="00085298">
            <w:pPr>
              <w:rPr>
                <w:rFonts w:cs="Calibri"/>
                <w:b/>
                <w:sz w:val="16"/>
                <w:szCs w:val="16"/>
                <w:vertAlign w:val="superscript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 xml:space="preserve">Comparison / control (C) </w:t>
            </w:r>
            <w:r w:rsidRPr="00C35436">
              <w:rPr>
                <w:rFonts w:cs="Calibri"/>
                <w:b/>
                <w:sz w:val="16"/>
                <w:szCs w:val="16"/>
                <w:vertAlign w:val="superscript"/>
                <w:lang w:val="en-GB"/>
              </w:rPr>
              <w:t>3</w:t>
            </w:r>
          </w:p>
          <w:p w14:paraId="26A20492" w14:textId="77777777" w:rsidR="00CF70CC" w:rsidRPr="00C35436" w:rsidRDefault="00CF70CC" w:rsidP="00085298">
            <w:pPr>
              <w:rPr>
                <w:rFonts w:cs="Calibri"/>
                <w:b/>
                <w:sz w:val="16"/>
                <w:szCs w:val="16"/>
                <w:lang w:val="en-GB"/>
              </w:rPr>
            </w:pPr>
          </w:p>
        </w:tc>
        <w:tc>
          <w:tcPr>
            <w:tcW w:w="527" w:type="pct"/>
            <w:shd w:val="clear" w:color="auto" w:fill="BFBFBF"/>
          </w:tcPr>
          <w:p w14:paraId="309623B7" w14:textId="77777777" w:rsidR="00CF70CC" w:rsidRPr="00C35436" w:rsidRDefault="00CF70CC" w:rsidP="00085298">
            <w:pPr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Follow-up</w:t>
            </w:r>
          </w:p>
        </w:tc>
        <w:tc>
          <w:tcPr>
            <w:tcW w:w="575" w:type="pct"/>
            <w:shd w:val="clear" w:color="auto" w:fill="BFBFBF"/>
          </w:tcPr>
          <w:p w14:paraId="0AE4F2AF" w14:textId="77777777" w:rsidR="00CF70CC" w:rsidRPr="00C35436" w:rsidRDefault="00CF70CC" w:rsidP="00085298">
            <w:pPr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 xml:space="preserve">Outcome measures and effect size </w:t>
            </w:r>
            <w:r w:rsidRPr="00C35436">
              <w:rPr>
                <w:rFonts w:cs="Calibri"/>
                <w:b/>
                <w:sz w:val="16"/>
                <w:szCs w:val="16"/>
                <w:vertAlign w:val="superscript"/>
                <w:lang w:val="en-GB"/>
              </w:rPr>
              <w:t>4</w:t>
            </w: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578" w:type="pct"/>
            <w:shd w:val="clear" w:color="auto" w:fill="BFBFBF"/>
          </w:tcPr>
          <w:p w14:paraId="0C3ED6D4" w14:textId="77777777" w:rsidR="00CF70CC" w:rsidRDefault="00CF70CC" w:rsidP="00085298">
            <w:pPr>
              <w:rPr>
                <w:rFonts w:cs="Calibri"/>
                <w:b/>
                <w:sz w:val="16"/>
                <w:szCs w:val="16"/>
                <w:lang w:val="en-GB"/>
              </w:rPr>
            </w:pPr>
            <w:r w:rsidRPr="00C35436">
              <w:rPr>
                <w:rFonts w:cs="Calibri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CF70CC" w:rsidRPr="00B53088" w14:paraId="646B8F79" w14:textId="77777777" w:rsidTr="00CF70CC">
        <w:tc>
          <w:tcPr>
            <w:tcW w:w="429" w:type="pct"/>
          </w:tcPr>
          <w:p w14:paraId="40CFC169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Bremner, 2018</w:t>
            </w:r>
          </w:p>
        </w:tc>
        <w:tc>
          <w:tcPr>
            <w:tcW w:w="636" w:type="pct"/>
          </w:tcPr>
          <w:p w14:paraId="7D3BA63E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AE1A97">
              <w:rPr>
                <w:rFonts w:cs="Calibri"/>
                <w:sz w:val="16"/>
                <w:szCs w:val="16"/>
                <w:lang w:val="en-GB"/>
              </w:rPr>
              <w:t>Type of study:</w:t>
            </w:r>
            <w:r>
              <w:rPr>
                <w:rFonts w:cs="Calibri"/>
                <w:sz w:val="16"/>
                <w:szCs w:val="16"/>
                <w:lang w:val="en-GB"/>
              </w:rPr>
              <w:br/>
            </w:r>
            <w:r w:rsidRPr="00DC75EA">
              <w:rPr>
                <w:rFonts w:cs="Calibri"/>
                <w:sz w:val="16"/>
                <w:szCs w:val="16"/>
                <w:lang w:val="en-GB"/>
              </w:rPr>
              <w:t>a randomized noninferiority</w:t>
            </w:r>
          </w:p>
          <w:p w14:paraId="74659534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Study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. </w:t>
            </w:r>
          </w:p>
          <w:p w14:paraId="7819CF51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11335821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Setting and country:</w:t>
            </w:r>
          </w:p>
          <w:p w14:paraId="79C8ADA5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 xml:space="preserve">USA </w:t>
            </w:r>
            <w:r>
              <w:rPr>
                <w:rFonts w:cs="Calibri"/>
                <w:sz w:val="16"/>
                <w:szCs w:val="16"/>
                <w:lang w:val="en-GB"/>
              </w:rPr>
              <w:br/>
            </w:r>
          </w:p>
          <w:p w14:paraId="22BA93F8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Funding and conflicts of interest:</w:t>
            </w:r>
            <w:r>
              <w:rPr>
                <w:rFonts w:cs="Calibri"/>
                <w:sz w:val="16"/>
                <w:szCs w:val="16"/>
                <w:lang w:val="en-GB"/>
              </w:rPr>
              <w:br/>
            </w:r>
            <w:r w:rsidRPr="00DC75EA">
              <w:rPr>
                <w:rFonts w:cs="Calibri"/>
                <w:sz w:val="16"/>
                <w:szCs w:val="16"/>
                <w:lang w:val="en-GB"/>
              </w:rPr>
              <w:t>This study was funded by GSK (GSK study CTT200812; ClinicalTrials.gov identifier</w:t>
            </w:r>
          </w:p>
          <w:p w14:paraId="6ACB62D7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NCT02729051). ELLIPTA is owned by or licensed to the GSK group of companies.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  <w:r w:rsidRPr="00DC75EA">
              <w:rPr>
                <w:rFonts w:cs="Calibri"/>
                <w:sz w:val="16"/>
                <w:szCs w:val="16"/>
                <w:lang w:val="en-GB"/>
              </w:rPr>
              <w:t>RB, NB, ASI, C-QZ, and DAL are employees of GSK and hold stocks/shares in</w:t>
            </w:r>
          </w:p>
          <w:p w14:paraId="179BB277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the company. ASI is also an unpaid faculty member at McMaster University,</w:t>
            </w:r>
          </w:p>
          <w:p w14:paraId="4B1A497C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4A81F41C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Canada. PRB has no conflicts of interest to disclose.</w:t>
            </w:r>
          </w:p>
        </w:tc>
        <w:tc>
          <w:tcPr>
            <w:tcW w:w="775" w:type="pct"/>
          </w:tcPr>
          <w:p w14:paraId="767EBCBF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sz w:val="16"/>
                <w:szCs w:val="16"/>
                <w:u w:val="single"/>
                <w:lang w:val="en-GB"/>
              </w:rPr>
              <w:t>Inclusion criteria</w:t>
            </w:r>
            <w:r w:rsidRPr="00AE1A97"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771BDEC6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COPD Assessment Test™ (CAT) score ≥ 10 [13, 14</w:t>
            </w:r>
            <w:proofErr w:type="gramStart"/>
            <w:r w:rsidRPr="00DC75EA">
              <w:rPr>
                <w:rFonts w:cs="Calibri"/>
                <w:sz w:val="16"/>
                <w:szCs w:val="16"/>
                <w:lang w:val="en-GB"/>
              </w:rPr>
              <w:t>];</w:t>
            </w:r>
            <w:proofErr w:type="gramEnd"/>
          </w:p>
          <w:p w14:paraId="033E47A5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a post-</w:t>
            </w:r>
            <w:proofErr w:type="spellStart"/>
            <w:r w:rsidRPr="00DC75EA">
              <w:rPr>
                <w:rFonts w:cs="Calibri"/>
                <w:sz w:val="16"/>
                <w:szCs w:val="16"/>
                <w:lang w:val="en-GB"/>
              </w:rPr>
              <w:t>albuterol</w:t>
            </w:r>
            <w:proofErr w:type="spellEnd"/>
            <w:r w:rsidRPr="00DC75EA">
              <w:rPr>
                <w:rFonts w:cs="Calibri"/>
                <w:sz w:val="16"/>
                <w:szCs w:val="16"/>
                <w:lang w:val="en-GB"/>
              </w:rPr>
              <w:t>/salbutamol FEV1/forced vital capacity ratio</w:t>
            </w:r>
          </w:p>
          <w:p w14:paraId="074F4635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&lt; 0.70; and a post-bronchodilator FEV1 &lt; 50% of predicted</w:t>
            </w:r>
          </w:p>
          <w:p w14:paraId="07451AC1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and ≥1 moderate/severe exacerbation in the previous</w:t>
            </w:r>
          </w:p>
          <w:p w14:paraId="01200AC4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12 months or a post-bronchodilator FEV1 ≥ 50% to &lt; 80%</w:t>
            </w:r>
          </w:p>
          <w:p w14:paraId="4549AF50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of predicted and ≥2 moderate exacerbations or ≥1 severe</w:t>
            </w:r>
          </w:p>
          <w:p w14:paraId="36D76626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exacerbation requiring hospitalization in the previous</w:t>
            </w:r>
          </w:p>
          <w:p w14:paraId="00768A96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12 months.</w:t>
            </w:r>
          </w:p>
          <w:p w14:paraId="5EAF5A9B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0833DC68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sz w:val="16"/>
                <w:szCs w:val="16"/>
                <w:u w:val="single"/>
                <w:lang w:val="en-GB"/>
              </w:rPr>
              <w:t>Exclusion criteria</w:t>
            </w:r>
            <w:r w:rsidRPr="00AE1A97"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489B3688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a current diagnosis of asthma</w:t>
            </w:r>
          </w:p>
          <w:p w14:paraId="0587D474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(</w:t>
            </w:r>
            <w:proofErr w:type="gramStart"/>
            <w:r w:rsidRPr="00DC75EA">
              <w:rPr>
                <w:rFonts w:cs="Calibri"/>
                <w:sz w:val="16"/>
                <w:szCs w:val="16"/>
                <w:lang w:val="en-GB"/>
              </w:rPr>
              <w:t>patients</w:t>
            </w:r>
            <w:proofErr w:type="gramEnd"/>
            <w:r w:rsidRPr="00DC75EA">
              <w:rPr>
                <w:rFonts w:cs="Calibri"/>
                <w:sz w:val="16"/>
                <w:szCs w:val="16"/>
                <w:lang w:val="en-GB"/>
              </w:rPr>
              <w:t xml:space="preserve"> with a prior history of asthma were eligible if they</w:t>
            </w:r>
          </w:p>
          <w:p w14:paraId="46EE1FD6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had a current diagnosis of COPD that was the primary cause</w:t>
            </w:r>
          </w:p>
          <w:p w14:paraId="38482956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of their respiratory symptoms); α1-antitrypsin deficiency;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  <w:r w:rsidRPr="00DC75EA">
              <w:rPr>
                <w:rFonts w:cs="Calibri"/>
                <w:sz w:val="16"/>
                <w:szCs w:val="16"/>
                <w:lang w:val="en-GB"/>
              </w:rPr>
              <w:t>active tuberculosis; other respiratory disorders that were the</w:t>
            </w:r>
          </w:p>
          <w:p w14:paraId="4366A4DB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 xml:space="preserve">primary cause of respiratory symptoms; lung </w:t>
            </w:r>
            <w:r w:rsidRPr="00DC75EA">
              <w:rPr>
                <w:rFonts w:cs="Calibri"/>
                <w:sz w:val="16"/>
                <w:szCs w:val="16"/>
                <w:lang w:val="en-GB"/>
              </w:rPr>
              <w:lastRenderedPageBreak/>
              <w:t>resection surgery</w:t>
            </w:r>
          </w:p>
          <w:p w14:paraId="53CF2C84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in the previous 12 months; risk factors for pneumonia</w:t>
            </w:r>
          </w:p>
          <w:p w14:paraId="4DEB9E51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(</w:t>
            </w:r>
            <w:proofErr w:type="gramStart"/>
            <w:r w:rsidRPr="00DC75EA">
              <w:rPr>
                <w:rFonts w:cs="Calibri"/>
                <w:sz w:val="16"/>
                <w:szCs w:val="16"/>
                <w:lang w:val="en-GB"/>
              </w:rPr>
              <w:t>including</w:t>
            </w:r>
            <w:proofErr w:type="gramEnd"/>
            <w:r w:rsidRPr="00DC75EA">
              <w:rPr>
                <w:rFonts w:cs="Calibri"/>
                <w:sz w:val="16"/>
                <w:szCs w:val="16"/>
                <w:lang w:val="en-GB"/>
              </w:rPr>
              <w:t xml:space="preserve"> immunosuppression and neurological disorders</w:t>
            </w:r>
          </w:p>
          <w:p w14:paraId="63256583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affecting control of the upper airway [e.g. Parkinson’s disease</w:t>
            </w:r>
          </w:p>
          <w:p w14:paraId="2CB4357F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or myasthenia gravis]; pneumonia and/or moderate/severe</w:t>
            </w:r>
          </w:p>
          <w:p w14:paraId="187519FD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exacerbation that had not resolved at least 14 days prior to</w:t>
            </w:r>
          </w:p>
          <w:p w14:paraId="5F72B202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screening; respiratory infections; abnormal findings on chest</w:t>
            </w:r>
          </w:p>
          <w:p w14:paraId="4E23F248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X-ray; clinically significant comorbidities; unstable liver or</w:t>
            </w:r>
          </w:p>
          <w:p w14:paraId="5412A226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cardiac disease; and cancer. Patients with a high risk for</w:t>
            </w:r>
          </w:p>
          <w:p w14:paraId="69E37E85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pneumonia (e.g. very low body mass index, severely malnourished,</w:t>
            </w:r>
          </w:p>
          <w:p w14:paraId="577991AD" w14:textId="77777777" w:rsidR="00CF70CC" w:rsidRPr="00DC75EA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or very low FEV1) were only to be included at</w:t>
            </w:r>
          </w:p>
          <w:p w14:paraId="6DD6801F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DC75EA">
              <w:rPr>
                <w:rFonts w:cs="Calibri"/>
                <w:sz w:val="16"/>
                <w:szCs w:val="16"/>
                <w:lang w:val="en-GB"/>
              </w:rPr>
              <w:t>the discretion of the investigator.</w:t>
            </w:r>
          </w:p>
          <w:p w14:paraId="58FE2324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2896FBEA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sz w:val="16"/>
                <w:szCs w:val="16"/>
                <w:u w:val="single"/>
                <w:lang w:val="en-GB"/>
              </w:rPr>
              <w:t>N total at baseline</w:t>
            </w:r>
            <w:r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434AFFB2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Intervention: 527</w:t>
            </w:r>
          </w:p>
          <w:p w14:paraId="2F4038A4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Control: 528</w:t>
            </w:r>
          </w:p>
          <w:p w14:paraId="4DC9B169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4DA7EE13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sz w:val="16"/>
                <w:szCs w:val="16"/>
                <w:u w:val="single"/>
                <w:lang w:val="en-GB"/>
              </w:rPr>
              <w:t xml:space="preserve">Important </w:t>
            </w:r>
            <w:r>
              <w:rPr>
                <w:rFonts w:cs="Calibri"/>
                <w:sz w:val="16"/>
                <w:szCs w:val="16"/>
                <w:u w:val="single"/>
                <w:lang w:val="en-GB"/>
              </w:rPr>
              <w:t>prognostic factors</w:t>
            </w:r>
            <w:r w:rsidRPr="005A3E41">
              <w:rPr>
                <w:rFonts w:cs="Calibri"/>
                <w:sz w:val="16"/>
                <w:szCs w:val="16"/>
                <w:u w:val="single"/>
                <w:vertAlign w:val="superscript"/>
                <w:lang w:val="en-GB"/>
              </w:rPr>
              <w:t>2</w:t>
            </w:r>
            <w:r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3E651C14" w14:textId="77777777" w:rsidR="00CF70CC" w:rsidRPr="004167E9" w:rsidRDefault="00CF70CC" w:rsidP="00085298">
            <w:pPr>
              <w:rPr>
                <w:rFonts w:cs="Calibri"/>
                <w:i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>age ± SD:</w:t>
            </w:r>
          </w:p>
          <w:p w14:paraId="47F3088D" w14:textId="77777777" w:rsidR="00CF70CC" w:rsidRPr="004167E9" w:rsidRDefault="00CF70CC" w:rsidP="00085298">
            <w:pPr>
              <w:rPr>
                <w:rFonts w:cs="Calibri"/>
                <w:i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>I:</w:t>
            </w:r>
            <w:r>
              <w:rPr>
                <w:rFonts w:cs="Calibri"/>
                <w:i/>
                <w:sz w:val="16"/>
                <w:szCs w:val="16"/>
                <w:lang w:val="en-GB"/>
              </w:rPr>
              <w:t xml:space="preserve"> 66.7 </w:t>
            </w: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>±</w:t>
            </w:r>
            <w:r>
              <w:rPr>
                <w:rFonts w:cs="Calibri"/>
                <w:i/>
                <w:sz w:val="16"/>
                <w:szCs w:val="16"/>
                <w:lang w:val="en-GB"/>
              </w:rPr>
              <w:t xml:space="preserve"> 8.5</w:t>
            </w:r>
          </w:p>
          <w:p w14:paraId="519BE888" w14:textId="77777777" w:rsidR="00CF70CC" w:rsidRPr="004167E9" w:rsidRDefault="00CF70CC" w:rsidP="00085298">
            <w:pPr>
              <w:rPr>
                <w:rFonts w:cs="Calibri"/>
                <w:i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>C:</w:t>
            </w:r>
            <w:r>
              <w:rPr>
                <w:rFonts w:cs="Calibri"/>
                <w:i/>
                <w:sz w:val="16"/>
                <w:szCs w:val="16"/>
                <w:lang w:val="en-GB"/>
              </w:rPr>
              <w:t xml:space="preserve"> </w:t>
            </w:r>
            <w:r w:rsidRPr="00DC75EA">
              <w:rPr>
                <w:rFonts w:cs="Calibri"/>
                <w:i/>
                <w:sz w:val="16"/>
                <w:szCs w:val="16"/>
                <w:lang w:val="en-GB"/>
              </w:rPr>
              <w:t>65.9</w:t>
            </w:r>
            <w:r>
              <w:rPr>
                <w:rFonts w:cs="Calibri"/>
                <w:i/>
                <w:sz w:val="16"/>
                <w:szCs w:val="16"/>
                <w:lang w:val="en-GB"/>
              </w:rPr>
              <w:t xml:space="preserve"> </w:t>
            </w: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>±</w:t>
            </w:r>
            <w:r>
              <w:rPr>
                <w:rFonts w:cs="Calibri"/>
                <w:i/>
                <w:sz w:val="16"/>
                <w:szCs w:val="16"/>
                <w:lang w:val="en-GB"/>
              </w:rPr>
              <w:t xml:space="preserve"> 8.8</w:t>
            </w:r>
          </w:p>
          <w:p w14:paraId="6534850B" w14:textId="77777777" w:rsidR="00CF70CC" w:rsidRPr="004167E9" w:rsidRDefault="00CF70CC" w:rsidP="00085298">
            <w:pPr>
              <w:rPr>
                <w:rFonts w:cs="Calibri"/>
                <w:i/>
                <w:sz w:val="16"/>
                <w:szCs w:val="16"/>
                <w:lang w:val="en-GB"/>
              </w:rPr>
            </w:pPr>
          </w:p>
          <w:p w14:paraId="2AE0D675" w14:textId="77777777" w:rsidR="00CF70CC" w:rsidRPr="004167E9" w:rsidRDefault="00CF70CC" w:rsidP="00085298">
            <w:pPr>
              <w:rPr>
                <w:rFonts w:cs="Calibri"/>
                <w:i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 xml:space="preserve">Sex: </w:t>
            </w:r>
          </w:p>
          <w:p w14:paraId="0E9009B8" w14:textId="77777777" w:rsidR="00CF70CC" w:rsidRPr="004167E9" w:rsidRDefault="00CF70CC" w:rsidP="00085298">
            <w:pPr>
              <w:rPr>
                <w:rFonts w:cs="Calibri"/>
                <w:i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 xml:space="preserve">I: </w:t>
            </w:r>
            <w:r>
              <w:rPr>
                <w:rFonts w:cs="Calibri"/>
                <w:i/>
                <w:sz w:val="16"/>
                <w:szCs w:val="16"/>
                <w:lang w:val="en-GB"/>
              </w:rPr>
              <w:t>74</w:t>
            </w: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>% M</w:t>
            </w:r>
          </w:p>
          <w:p w14:paraId="46D188B2" w14:textId="77777777" w:rsidR="00CF70CC" w:rsidRDefault="00CF70CC" w:rsidP="00085298">
            <w:pPr>
              <w:rPr>
                <w:rFonts w:cs="Calibri"/>
                <w:i/>
                <w:sz w:val="16"/>
                <w:szCs w:val="16"/>
                <w:lang w:val="en-GB"/>
              </w:rPr>
            </w:pP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 xml:space="preserve">C: </w:t>
            </w:r>
            <w:r>
              <w:rPr>
                <w:rFonts w:cs="Calibri"/>
                <w:i/>
                <w:sz w:val="16"/>
                <w:szCs w:val="16"/>
                <w:lang w:val="en-GB"/>
              </w:rPr>
              <w:t>75</w:t>
            </w:r>
            <w:r w:rsidRPr="004167E9">
              <w:rPr>
                <w:rFonts w:cs="Calibri"/>
                <w:i/>
                <w:sz w:val="16"/>
                <w:szCs w:val="16"/>
                <w:lang w:val="en-GB"/>
              </w:rPr>
              <w:t>% M</w:t>
            </w:r>
          </w:p>
          <w:p w14:paraId="6F75FEFC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1CC40016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Groups comparable at baseline?</w:t>
            </w:r>
          </w:p>
          <w:p w14:paraId="26440D42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Yes</w:t>
            </w:r>
          </w:p>
          <w:p w14:paraId="1BBD5879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740" w:type="pct"/>
          </w:tcPr>
          <w:p w14:paraId="49F7D5F9" w14:textId="77777777" w:rsidR="00CF70CC" w:rsidRPr="005F50AD" w:rsidRDefault="00CF70CC" w:rsidP="00085298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lastRenderedPageBreak/>
              <w:t>24 weeks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of FF/UMEC/VI 100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/62.5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/25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 in a single inhaler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  <w:r w:rsidRPr="005F50AD">
              <w:rPr>
                <w:rFonts w:cs="Calibri"/>
                <w:sz w:val="16"/>
                <w:szCs w:val="16"/>
                <w:lang w:val="en-GB"/>
              </w:rPr>
              <w:t>and placebo (second inhaler)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. </w:t>
            </w:r>
            <w:r w:rsidRPr="005F50AD">
              <w:rPr>
                <w:rFonts w:cs="Calibri"/>
                <w:sz w:val="16"/>
                <w:szCs w:val="16"/>
                <w:lang w:val="en-GB"/>
              </w:rPr>
              <w:t>all treatments/placebo</w:t>
            </w:r>
          </w:p>
          <w:p w14:paraId="43D89E41" w14:textId="77777777" w:rsidR="00CF70CC" w:rsidRPr="00AE1A97" w:rsidRDefault="00CF70CC" w:rsidP="00085298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>were delivered using the ELLIPTA inhaler once daily in the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  <w:r w:rsidRPr="005F50AD">
              <w:rPr>
                <w:rFonts w:cs="Calibri"/>
                <w:sz w:val="16"/>
                <w:szCs w:val="16"/>
                <w:lang w:val="en-GB"/>
              </w:rPr>
              <w:t>morning.</w:t>
            </w:r>
          </w:p>
          <w:p w14:paraId="683BF38F" w14:textId="77777777" w:rsidR="00CF70CC" w:rsidRPr="00AE1A97" w:rsidRDefault="00CF70CC" w:rsidP="00085298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740" w:type="pct"/>
          </w:tcPr>
          <w:p w14:paraId="5EFBADE2" w14:textId="77777777" w:rsidR="00CF70CC" w:rsidRPr="005F50AD" w:rsidRDefault="00CF70CC" w:rsidP="00085298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>24 weeks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of FF/VI 100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/25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 and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UMEC 62.5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>, in separate inhalers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. </w:t>
            </w:r>
            <w:r w:rsidRPr="005F50AD">
              <w:rPr>
                <w:rFonts w:cs="Calibri"/>
                <w:sz w:val="16"/>
                <w:szCs w:val="16"/>
                <w:lang w:val="en-GB"/>
              </w:rPr>
              <w:t>all treatments/placebo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  <w:r w:rsidRPr="005F50AD">
              <w:rPr>
                <w:rFonts w:cs="Calibri"/>
                <w:sz w:val="16"/>
                <w:szCs w:val="16"/>
                <w:lang w:val="en-GB"/>
              </w:rPr>
              <w:t>were delivered using the ELLIPTA inhaler once daily in the</w:t>
            </w:r>
          </w:p>
          <w:p w14:paraId="784A9762" w14:textId="77777777" w:rsidR="00CF70CC" w:rsidRPr="00AE1A97" w:rsidRDefault="00CF70CC" w:rsidP="00085298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>morning.</w:t>
            </w:r>
          </w:p>
          <w:p w14:paraId="609E7419" w14:textId="77777777" w:rsidR="00CF70CC" w:rsidRPr="00AE1A97" w:rsidRDefault="00CF70CC" w:rsidP="00085298">
            <w:pPr>
              <w:jc w:val="left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527" w:type="pct"/>
          </w:tcPr>
          <w:p w14:paraId="39D8D9B2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E423A3">
              <w:rPr>
                <w:rFonts w:cs="Calibri"/>
                <w:sz w:val="16"/>
                <w:szCs w:val="16"/>
                <w:u w:val="single"/>
                <w:lang w:val="en-GB"/>
              </w:rPr>
              <w:t>Length of follow-up</w:t>
            </w:r>
            <w:r>
              <w:rPr>
                <w:rFonts w:cs="Calibri"/>
                <w:sz w:val="16"/>
                <w:szCs w:val="16"/>
                <w:lang w:val="en-GB"/>
              </w:rPr>
              <w:t>:</w:t>
            </w:r>
          </w:p>
          <w:p w14:paraId="4F2449BF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 xml:space="preserve">One week after treatment. </w:t>
            </w:r>
          </w:p>
          <w:p w14:paraId="3E2DF430" w14:textId="77777777" w:rsidR="00CF70CC" w:rsidRDefault="00CF70CC" w:rsidP="00085298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</w:p>
          <w:p w14:paraId="03FD9A13" w14:textId="77777777" w:rsidR="00CF70CC" w:rsidRDefault="00CF70CC" w:rsidP="00085298">
            <w:pPr>
              <w:pStyle w:val="Default"/>
              <w:rPr>
                <w:rFonts w:ascii="Calibri" w:hAnsi="Calibri"/>
                <w:sz w:val="16"/>
                <w:szCs w:val="16"/>
                <w:lang w:val="en-GB"/>
              </w:rPr>
            </w:pPr>
            <w:r w:rsidRPr="00E423A3">
              <w:rPr>
                <w:rFonts w:ascii="Calibri" w:hAnsi="Calibri"/>
                <w:sz w:val="16"/>
                <w:szCs w:val="16"/>
                <w:u w:val="single"/>
                <w:lang w:val="en-GB"/>
              </w:rPr>
              <w:t>Loss-to-follow-up</w:t>
            </w:r>
            <w:r>
              <w:rPr>
                <w:rFonts w:ascii="Calibri" w:hAnsi="Calibri"/>
                <w:sz w:val="16"/>
                <w:szCs w:val="16"/>
                <w:lang w:val="en-GB"/>
              </w:rPr>
              <w:t>:</w:t>
            </w:r>
          </w:p>
          <w:p w14:paraId="330C8D11" w14:textId="77777777" w:rsidR="00CF70CC" w:rsidRDefault="00CF70CC" w:rsidP="00085298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Intervention: 6%</w:t>
            </w:r>
          </w:p>
          <w:p w14:paraId="038C8791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 xml:space="preserve">Reasons: </w:t>
            </w:r>
            <w:proofErr w:type="spellStart"/>
            <w:r>
              <w:rPr>
                <w:rFonts w:cs="Calibri"/>
                <w:sz w:val="16"/>
                <w:szCs w:val="16"/>
                <w:lang w:val="en-GB"/>
              </w:rPr>
              <w:t>n.r.</w:t>
            </w:r>
            <w:proofErr w:type="spellEnd"/>
          </w:p>
          <w:p w14:paraId="4139769B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5487E33C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Control: 6%</w:t>
            </w:r>
          </w:p>
          <w:p w14:paraId="7C256736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 xml:space="preserve">Reasons: </w:t>
            </w:r>
            <w:proofErr w:type="spellStart"/>
            <w:r>
              <w:rPr>
                <w:rFonts w:cs="Calibri"/>
                <w:sz w:val="16"/>
                <w:szCs w:val="16"/>
                <w:lang w:val="en-GB"/>
              </w:rPr>
              <w:t>n.r.</w:t>
            </w:r>
            <w:proofErr w:type="spellEnd"/>
            <w:r>
              <w:rPr>
                <w:rFonts w:cs="Calibri"/>
                <w:sz w:val="16"/>
                <w:szCs w:val="16"/>
                <w:lang w:val="en-GB"/>
              </w:rPr>
              <w:t xml:space="preserve"> </w:t>
            </w:r>
          </w:p>
          <w:p w14:paraId="41F56A78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7F024E23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E423A3">
              <w:rPr>
                <w:rFonts w:cs="Calibri"/>
                <w:sz w:val="16"/>
                <w:szCs w:val="16"/>
                <w:u w:val="single"/>
                <w:lang w:val="en-GB"/>
              </w:rPr>
              <w:t>Incomplete outcome data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: </w:t>
            </w:r>
          </w:p>
          <w:p w14:paraId="167C9F09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n.r.</w:t>
            </w:r>
            <w:proofErr w:type="spellEnd"/>
          </w:p>
          <w:p w14:paraId="45EDDBBC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51138F5E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575" w:type="pct"/>
          </w:tcPr>
          <w:p w14:paraId="766FDB57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COPD exacerbations rate</w:t>
            </w:r>
            <w:r>
              <w:rPr>
                <w:rFonts w:cs="Calibri"/>
                <w:sz w:val="16"/>
                <w:szCs w:val="16"/>
                <w:u w:val="single"/>
                <w:lang w:val="en-GB"/>
              </w:rPr>
              <w:br/>
            </w:r>
            <w:r>
              <w:rPr>
                <w:rFonts w:cs="Calibri"/>
                <w:sz w:val="16"/>
                <w:szCs w:val="16"/>
                <w:lang w:val="en-GB"/>
              </w:rPr>
              <w:t>Defined as the number of exacerbations.</w:t>
            </w:r>
          </w:p>
          <w:p w14:paraId="3C3EA2C6" w14:textId="77777777" w:rsidR="00CF70CC" w:rsidRDefault="00CF70CC" w:rsidP="00085298">
            <w:pPr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  <w:p w14:paraId="49F75DAC" w14:textId="77777777" w:rsidR="00CF70CC" w:rsidRPr="00BC370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Effect measure: Risk ratio [95% CI]:</w:t>
            </w:r>
            <w:r>
              <w:rPr>
                <w:rFonts w:cs="Calibri"/>
                <w:sz w:val="16"/>
                <w:szCs w:val="16"/>
                <w:lang w:val="en-GB"/>
              </w:rPr>
              <w:br/>
            </w:r>
            <w:r w:rsidRPr="00BC3707">
              <w:rPr>
                <w:rFonts w:cs="Calibri"/>
                <w:sz w:val="16"/>
                <w:szCs w:val="16"/>
                <w:lang w:val="en-GB"/>
              </w:rPr>
              <w:t xml:space="preserve">0.91 </w:t>
            </w:r>
            <w:r>
              <w:rPr>
                <w:rFonts w:cs="Calibri"/>
                <w:sz w:val="16"/>
                <w:szCs w:val="16"/>
                <w:lang w:val="en-GB"/>
              </w:rPr>
              <w:t>[</w:t>
            </w:r>
            <w:r w:rsidRPr="00BC3707">
              <w:rPr>
                <w:rFonts w:cs="Calibri"/>
                <w:sz w:val="16"/>
                <w:szCs w:val="16"/>
                <w:lang w:val="en-GB"/>
              </w:rPr>
              <w:t>95% CI: 0.74 to 1.12</w:t>
            </w:r>
            <w:proofErr w:type="gramStart"/>
            <w:r>
              <w:rPr>
                <w:rFonts w:cs="Calibri"/>
                <w:sz w:val="16"/>
                <w:szCs w:val="16"/>
                <w:lang w:val="en-GB"/>
              </w:rPr>
              <w:t>]</w:t>
            </w:r>
            <w:r w:rsidRPr="00BC3707">
              <w:rPr>
                <w:rFonts w:cs="Calibri"/>
                <w:sz w:val="16"/>
                <w:szCs w:val="16"/>
                <w:lang w:val="en-GB"/>
              </w:rPr>
              <w:t xml:space="preserve">  </w:t>
            </w:r>
            <w:r>
              <w:rPr>
                <w:rFonts w:cs="Calibri"/>
                <w:sz w:val="16"/>
                <w:szCs w:val="16"/>
                <w:lang w:val="en-GB"/>
              </w:rPr>
              <w:t>in</w:t>
            </w:r>
            <w:proofErr w:type="gramEnd"/>
            <w:r>
              <w:rPr>
                <w:rFonts w:cs="Calibri"/>
                <w:sz w:val="16"/>
                <w:szCs w:val="16"/>
                <w:lang w:val="en-GB"/>
              </w:rPr>
              <w:t xml:space="preserve"> favour of fixed triple therapy.</w:t>
            </w:r>
          </w:p>
          <w:p w14:paraId="31D15DDC" w14:textId="77777777" w:rsidR="00CF70CC" w:rsidRDefault="00CF70CC" w:rsidP="00085298">
            <w:pPr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  <w:p w14:paraId="480A9A9C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Mortality</w:t>
            </w:r>
            <w:r>
              <w:rPr>
                <w:rFonts w:cs="Calibri"/>
                <w:sz w:val="16"/>
                <w:szCs w:val="16"/>
                <w:u w:val="single"/>
                <w:lang w:val="en-GB"/>
              </w:rPr>
              <w:br/>
            </w:r>
            <w:proofErr w:type="spellStart"/>
            <w:r>
              <w:rPr>
                <w:rFonts w:cs="Calibri"/>
                <w:sz w:val="16"/>
                <w:szCs w:val="16"/>
                <w:lang w:val="en-GB"/>
              </w:rPr>
              <w:t>n.r.</w:t>
            </w:r>
            <w:proofErr w:type="spellEnd"/>
          </w:p>
          <w:p w14:paraId="59DA3CC5" w14:textId="77777777" w:rsidR="00CF70CC" w:rsidRPr="00BC370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245A3333" w14:textId="77777777" w:rsidR="00CF70CC" w:rsidRDefault="00CF70CC" w:rsidP="00085298">
            <w:pPr>
              <w:rPr>
                <w:rFonts w:cs="Calibri"/>
                <w:sz w:val="16"/>
                <w:szCs w:val="16"/>
                <w:u w:val="single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Quality of life</w:t>
            </w:r>
          </w:p>
          <w:p w14:paraId="336AF901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Defined as the proportion of responders to the SGRQ.</w:t>
            </w:r>
          </w:p>
          <w:p w14:paraId="29DF6E29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7B91E9B7" w14:textId="77777777" w:rsidR="00CF70CC" w:rsidRPr="00BC370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 xml:space="preserve">Effect measure: Risk ratio [95% CI]: </w:t>
            </w:r>
            <w:r>
              <w:rPr>
                <w:rFonts w:cs="Calibri"/>
                <w:sz w:val="16"/>
                <w:szCs w:val="16"/>
                <w:lang w:val="en-GB"/>
              </w:rPr>
              <w:br/>
              <w:t>0</w:t>
            </w:r>
            <w:r w:rsidRPr="00BC3707">
              <w:rPr>
                <w:rFonts w:cs="Calibri"/>
                <w:sz w:val="16"/>
                <w:szCs w:val="16"/>
                <w:lang w:val="en-GB"/>
              </w:rPr>
              <w:t xml:space="preserve">.98 </w:t>
            </w:r>
            <w:r>
              <w:rPr>
                <w:rFonts w:cs="Calibri"/>
                <w:sz w:val="16"/>
                <w:szCs w:val="16"/>
                <w:lang w:val="en-GB"/>
              </w:rPr>
              <w:t>[9</w:t>
            </w:r>
            <w:r w:rsidRPr="00BC3707">
              <w:rPr>
                <w:rFonts w:cs="Calibri"/>
                <w:sz w:val="16"/>
                <w:szCs w:val="16"/>
                <w:lang w:val="en-GB"/>
              </w:rPr>
              <w:t>5% CI 0.97 to 1.10</w:t>
            </w:r>
            <w:r>
              <w:rPr>
                <w:rFonts w:cs="Calibri"/>
                <w:sz w:val="16"/>
                <w:szCs w:val="16"/>
                <w:lang w:val="en-GB"/>
              </w:rPr>
              <w:t>] in favour of fixed triple therapy.</w:t>
            </w:r>
          </w:p>
          <w:p w14:paraId="27C014FB" w14:textId="77777777" w:rsidR="00CF70CC" w:rsidRDefault="00CF70CC" w:rsidP="00085298">
            <w:pPr>
              <w:rPr>
                <w:rFonts w:cs="Calibri"/>
                <w:sz w:val="16"/>
                <w:szCs w:val="16"/>
                <w:u w:val="single"/>
                <w:lang w:val="en-GB"/>
              </w:rPr>
            </w:pPr>
          </w:p>
          <w:p w14:paraId="0EF1B2A2" w14:textId="77777777" w:rsidR="00CF70CC" w:rsidRDefault="00CF70CC" w:rsidP="00085298">
            <w:pPr>
              <w:rPr>
                <w:rFonts w:cs="Calibri"/>
                <w:sz w:val="16"/>
                <w:szCs w:val="16"/>
                <w:u w:val="single"/>
                <w:vertAlign w:val="subscript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FEV</w:t>
            </w:r>
            <w:r>
              <w:rPr>
                <w:rFonts w:cs="Calibri"/>
                <w:sz w:val="16"/>
                <w:szCs w:val="16"/>
                <w:u w:val="single"/>
                <w:vertAlign w:val="subscript"/>
                <w:lang w:val="en-GB"/>
              </w:rPr>
              <w:t>1</w:t>
            </w:r>
          </w:p>
          <w:p w14:paraId="695EB555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Defined as the between treatment difference in FEV</w:t>
            </w:r>
            <w:r>
              <w:rPr>
                <w:rFonts w:cs="Calibri"/>
                <w:sz w:val="16"/>
                <w:szCs w:val="16"/>
                <w:vertAlign w:val="subscript"/>
                <w:lang w:val="en-GB"/>
              </w:rPr>
              <w:t>1</w:t>
            </w:r>
            <w:r>
              <w:rPr>
                <w:rFonts w:cs="Calibri"/>
                <w:sz w:val="16"/>
                <w:szCs w:val="16"/>
                <w:vertAlign w:val="subscript"/>
                <w:lang w:val="en-GB"/>
              </w:rPr>
              <w:br/>
            </w:r>
            <w:r>
              <w:rPr>
                <w:rFonts w:cs="Calibri"/>
                <w:sz w:val="16"/>
                <w:szCs w:val="16"/>
                <w:lang w:val="en-GB"/>
              </w:rPr>
              <w:br/>
              <w:t>Effect measure: mean difference [95% CI]</w:t>
            </w:r>
            <w:r>
              <w:rPr>
                <w:rFonts w:cs="Calibri"/>
                <w:sz w:val="16"/>
                <w:szCs w:val="16"/>
                <w:lang w:val="en-GB"/>
              </w:rPr>
              <w:br/>
            </w:r>
            <w:r w:rsidRPr="001D63F7">
              <w:rPr>
                <w:rFonts w:cs="Calibri"/>
                <w:sz w:val="16"/>
                <w:szCs w:val="16"/>
                <w:lang w:val="en-GB"/>
              </w:rPr>
              <w:t xml:space="preserve">18 mL </w:t>
            </w:r>
            <w:r>
              <w:rPr>
                <w:rFonts w:cs="Calibri"/>
                <w:sz w:val="16"/>
                <w:szCs w:val="16"/>
                <w:lang w:val="en-GB"/>
              </w:rPr>
              <w:t>[</w:t>
            </w:r>
            <w:r w:rsidRPr="001D63F7">
              <w:rPr>
                <w:rFonts w:cs="Calibri"/>
                <w:sz w:val="16"/>
                <w:szCs w:val="16"/>
                <w:lang w:val="en-GB"/>
              </w:rPr>
              <w:t>95% CI -13 to 50</w:t>
            </w:r>
            <w:r>
              <w:rPr>
                <w:rFonts w:cs="Calibri"/>
                <w:sz w:val="16"/>
                <w:szCs w:val="16"/>
                <w:lang w:val="en-GB"/>
              </w:rPr>
              <w:t xml:space="preserve">] in favour of fixed triple therapy. </w:t>
            </w:r>
          </w:p>
          <w:p w14:paraId="715F7ED4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77917C01" w14:textId="77777777" w:rsidR="00CF70CC" w:rsidRDefault="00CF70CC" w:rsidP="00085298">
            <w:pPr>
              <w:rPr>
                <w:rFonts w:cs="Calibri"/>
                <w:sz w:val="16"/>
                <w:szCs w:val="16"/>
                <w:u w:val="single"/>
                <w:lang w:val="en-GB"/>
              </w:rPr>
            </w:pPr>
            <w:r w:rsidRPr="0047254F">
              <w:rPr>
                <w:rFonts w:cs="Calibri"/>
                <w:sz w:val="16"/>
                <w:szCs w:val="16"/>
                <w:u w:val="single"/>
                <w:lang w:val="en-GB"/>
              </w:rPr>
              <w:t>Pneumonia</w:t>
            </w:r>
          </w:p>
          <w:p w14:paraId="234F2F45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lastRenderedPageBreak/>
              <w:t>Defined as the number of participants with pneumonia.</w:t>
            </w:r>
          </w:p>
          <w:p w14:paraId="2FD53C1D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226FFA68" w14:textId="77777777" w:rsidR="00CF70CC" w:rsidRPr="0047254F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Effect measure: Risk ratio [95% CI]:</w:t>
            </w:r>
            <w:r>
              <w:rPr>
                <w:rFonts w:cs="Calibri"/>
                <w:sz w:val="16"/>
                <w:szCs w:val="16"/>
                <w:lang w:val="en-GB"/>
              </w:rPr>
              <w:br/>
            </w:r>
          </w:p>
          <w:p w14:paraId="3CE62167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u w:val="single"/>
                <w:vertAlign w:val="subscript"/>
                <w:lang w:val="en-GB"/>
              </w:rPr>
            </w:pPr>
          </w:p>
          <w:p w14:paraId="639C3A0B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u w:val="single"/>
                <w:lang w:val="en-GB"/>
              </w:rPr>
            </w:pPr>
            <w:r>
              <w:rPr>
                <w:rFonts w:cs="Calibri"/>
                <w:sz w:val="16"/>
                <w:szCs w:val="16"/>
                <w:u w:val="single"/>
                <w:lang w:val="en-GB"/>
              </w:rPr>
              <w:t>Serious adverse events</w:t>
            </w:r>
          </w:p>
          <w:p w14:paraId="7B6B98BA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Defined as the number of serious adverse events.</w:t>
            </w:r>
          </w:p>
          <w:p w14:paraId="69CF0484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</w:p>
          <w:p w14:paraId="45ED19FD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 xml:space="preserve">Effect measure: Risk ratio [95% </w:t>
            </w:r>
          </w:p>
          <w:p w14:paraId="340AD72D" w14:textId="77777777" w:rsidR="00CF70CC" w:rsidRDefault="00CF70CC" w:rsidP="00085298">
            <w:pPr>
              <w:rPr>
                <w:rFonts w:cs="Calibri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bCs/>
                <w:sz w:val="16"/>
                <w:szCs w:val="16"/>
                <w:lang w:val="en-GB"/>
              </w:rPr>
              <w:t xml:space="preserve">Pneumonia: </w:t>
            </w:r>
          </w:p>
          <w:p w14:paraId="1EEDB224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>
              <w:rPr>
                <w:rFonts w:cs="Calibri"/>
                <w:sz w:val="16"/>
                <w:szCs w:val="16"/>
                <w:lang w:val="en-GB"/>
              </w:rPr>
              <w:t>0.67 [0.34 to 1.30] in favour of fixed triple therapy.</w:t>
            </w:r>
          </w:p>
          <w:p w14:paraId="1FD7CBEC" w14:textId="77777777" w:rsidR="00CF70CC" w:rsidRDefault="00CF70CC" w:rsidP="00085298">
            <w:pPr>
              <w:rPr>
                <w:rFonts w:cs="Calibri"/>
                <w:b/>
                <w:bCs/>
                <w:sz w:val="16"/>
                <w:szCs w:val="16"/>
                <w:lang w:val="en-GB"/>
              </w:rPr>
            </w:pPr>
          </w:p>
          <w:p w14:paraId="34B6E318" w14:textId="77777777" w:rsidR="00CF70CC" w:rsidRPr="007C0DE7" w:rsidRDefault="00CF70CC" w:rsidP="00085298">
            <w:pPr>
              <w:rPr>
                <w:rFonts w:cs="Calibri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Calibri"/>
                <w:b/>
                <w:bCs/>
                <w:sz w:val="16"/>
                <w:szCs w:val="16"/>
                <w:lang w:val="en-GB"/>
              </w:rPr>
              <w:t>Other SAEs</w:t>
            </w:r>
          </w:p>
          <w:p w14:paraId="6732D8B2" w14:textId="77777777" w:rsidR="00CF70CC" w:rsidRPr="00AE1A97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1D63F7">
              <w:rPr>
                <w:rFonts w:cs="Calibri"/>
                <w:sz w:val="16"/>
                <w:szCs w:val="16"/>
                <w:lang w:val="en-GB"/>
              </w:rPr>
              <w:t xml:space="preserve">0.91 </w:t>
            </w:r>
            <w:r>
              <w:rPr>
                <w:rFonts w:cs="Calibri"/>
                <w:sz w:val="16"/>
                <w:szCs w:val="16"/>
                <w:lang w:val="en-GB"/>
              </w:rPr>
              <w:t>[</w:t>
            </w:r>
            <w:r w:rsidRPr="001D63F7">
              <w:rPr>
                <w:rFonts w:cs="Calibri"/>
                <w:sz w:val="16"/>
                <w:szCs w:val="16"/>
                <w:lang w:val="en-GB"/>
              </w:rPr>
              <w:t>95% CI 0.64 to 1.30</w:t>
            </w:r>
            <w:r>
              <w:rPr>
                <w:rFonts w:cs="Calibri"/>
                <w:sz w:val="16"/>
                <w:szCs w:val="16"/>
                <w:lang w:val="en-GB"/>
              </w:rPr>
              <w:t>] in favour of fixed triple therapy.</w:t>
            </w:r>
          </w:p>
        </w:tc>
        <w:tc>
          <w:tcPr>
            <w:tcW w:w="578" w:type="pct"/>
          </w:tcPr>
          <w:p w14:paraId="24B021B9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lastRenderedPageBreak/>
              <w:t>This study showed that single-inhaler FF/UMEC/VI</w:t>
            </w:r>
          </w:p>
          <w:p w14:paraId="140A6FC1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100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/62.5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/25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 was non-inferior to FF/VI 100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>/</w:t>
            </w:r>
          </w:p>
          <w:p w14:paraId="6F6E05C5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25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 plus UMEC 62.5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μg</w:t>
            </w:r>
            <w:proofErr w:type="spellEnd"/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 based on change from baseline</w:t>
            </w:r>
          </w:p>
          <w:p w14:paraId="6AE03B6B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>in trough FEV1 at Week 24 in patients with advanced</w:t>
            </w:r>
          </w:p>
          <w:p w14:paraId="37546498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>COPD. Our findings confirm that single-inhaler triple</w:t>
            </w:r>
          </w:p>
          <w:p w14:paraId="3BA3E446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 xml:space="preserve">therapy with FF/UMEC/VI offers similar efficacy, </w:t>
            </w:r>
            <w:proofErr w:type="spellStart"/>
            <w:r w:rsidRPr="005F50AD">
              <w:rPr>
                <w:rFonts w:cs="Calibri"/>
                <w:sz w:val="16"/>
                <w:szCs w:val="16"/>
                <w:lang w:val="en-GB"/>
              </w:rPr>
              <w:t>healthrelated</w:t>
            </w:r>
            <w:proofErr w:type="spellEnd"/>
          </w:p>
          <w:p w14:paraId="19792F18" w14:textId="77777777" w:rsidR="00CF70CC" w:rsidRPr="005F50AD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>quality of life, and safety benefits as the same triple</w:t>
            </w:r>
          </w:p>
          <w:p w14:paraId="59106124" w14:textId="77777777" w:rsidR="00CF70CC" w:rsidRDefault="00CF70CC" w:rsidP="00085298">
            <w:pPr>
              <w:rPr>
                <w:rFonts w:cs="Calibri"/>
                <w:sz w:val="16"/>
                <w:szCs w:val="16"/>
                <w:lang w:val="en-GB"/>
              </w:rPr>
            </w:pPr>
            <w:r w:rsidRPr="005F50AD">
              <w:rPr>
                <w:rFonts w:cs="Calibri"/>
                <w:sz w:val="16"/>
                <w:szCs w:val="16"/>
                <w:lang w:val="en-GB"/>
              </w:rPr>
              <w:t>therapy administered using two inhalers.</w:t>
            </w:r>
          </w:p>
        </w:tc>
      </w:tr>
    </w:tbl>
    <w:p w14:paraId="3FAC28B5" w14:textId="77777777" w:rsidR="00431D0C" w:rsidRDefault="00431D0C"/>
    <w:sectPr w:rsidR="00431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4B"/>
    <w:rsid w:val="00431D0C"/>
    <w:rsid w:val="00A1584B"/>
    <w:rsid w:val="00AE4C6E"/>
    <w:rsid w:val="00C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BC464-0AA1-4AC9-8E2F-F95A2300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0CC"/>
    <w:pPr>
      <w:spacing w:after="0" w:line="240" w:lineRule="auto"/>
      <w:jc w:val="both"/>
    </w:pPr>
    <w:rPr>
      <w:rFonts w:ascii="Calibri" w:eastAsia="Times New Roman" w:hAnsi="Calibri" w:cs="Times New Roman"/>
      <w:kern w:val="0"/>
      <w:sz w:val="23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84B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84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84B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84B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84B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GB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84B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84B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GB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84B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GB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84B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GB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84B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5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4B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5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84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GB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5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84B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GB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5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GB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4B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F70C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lang w:val="nl-NL"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Vidal Pérez</dc:creator>
  <cp:keywords/>
  <dc:description/>
  <cp:lastModifiedBy>Carlos Vidal Pérez</cp:lastModifiedBy>
  <cp:revision>2</cp:revision>
  <dcterms:created xsi:type="dcterms:W3CDTF">2024-06-17T08:27:00Z</dcterms:created>
  <dcterms:modified xsi:type="dcterms:W3CDTF">2024-06-17T08:27:00Z</dcterms:modified>
</cp:coreProperties>
</file>