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1130"/>
        <w:gridCol w:w="1173"/>
        <w:gridCol w:w="1010"/>
        <w:gridCol w:w="979"/>
        <w:gridCol w:w="1167"/>
        <w:gridCol w:w="1029"/>
        <w:gridCol w:w="1178"/>
      </w:tblGrid>
      <w:tr w:rsidR="00B9219D" w14:paraId="66EBE513" w14:textId="77777777" w:rsidTr="00B9219D">
        <w:trPr>
          <w:trHeight w:val="1279"/>
        </w:trPr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DC3E770" w14:textId="77777777" w:rsidR="00B9219D" w:rsidRDefault="00B9219D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reference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F927073" w14:textId="77777777" w:rsidR="00B9219D" w:rsidRDefault="00B9219D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characteristics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FF0F7E5" w14:textId="77777777" w:rsidR="00B9219D" w:rsidRDefault="00B9219D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Patient characteristics </w:t>
            </w:r>
            <w:r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2</w:t>
            </w: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 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A62D971" w14:textId="77777777" w:rsidR="00B9219D" w:rsidRDefault="00B9219D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Intervention (I)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D3CA84E" w14:textId="77777777" w:rsidR="00B9219D" w:rsidRDefault="00B9219D">
            <w:pPr>
              <w:jc w:val="left"/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Comparison / control (C) </w:t>
            </w:r>
            <w:r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3</w:t>
            </w:r>
          </w:p>
          <w:p w14:paraId="2B119386" w14:textId="77777777" w:rsidR="00B9219D" w:rsidRDefault="00B9219D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C5557B1" w14:textId="77777777" w:rsidR="00B9219D" w:rsidRDefault="00B9219D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Follow-up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111FD3D" w14:textId="77777777" w:rsidR="00B9219D" w:rsidRDefault="00B9219D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Outcome measures and effect size </w:t>
            </w:r>
            <w:r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4</w:t>
            </w: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 </w:t>
            </w:r>
          </w:p>
        </w:tc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A2CE221" w14:textId="77777777" w:rsidR="00B9219D" w:rsidRDefault="00B9219D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Comments</w:t>
            </w:r>
          </w:p>
        </w:tc>
      </w:tr>
      <w:tr w:rsidR="00B9219D" w14:paraId="2C50046F" w14:textId="77777777" w:rsidTr="00B9219D"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55EF8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Faten, 2014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164D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Type of study:</w:t>
            </w:r>
          </w:p>
          <w:p w14:paraId="36E96961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RCT</w:t>
            </w:r>
          </w:p>
          <w:p w14:paraId="337C8D2C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C40B025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Setting and country:</w:t>
            </w:r>
          </w:p>
          <w:p w14:paraId="68B24924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Inpatients</w:t>
            </w:r>
          </w:p>
          <w:p w14:paraId="1AACD1C8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Tunis</w:t>
            </w:r>
          </w:p>
          <w:p w14:paraId="72F8A81D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8566528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Funding and conflicts of interest:</w:t>
            </w:r>
          </w:p>
          <w:p w14:paraId="35739CDA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Not reported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318F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Inclusion criteria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725B1709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Eligible infants included all previously well infants aged between one month old and 12 months old with a clinical diagnosis of first acute viral</w:t>
            </w:r>
          </w:p>
          <w:p w14:paraId="2B8F972D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bronchiolitis and who are hospitalized during the study period.</w:t>
            </w:r>
          </w:p>
          <w:p w14:paraId="3EA76A32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7A1D9A1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Exclusion criteria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5726CAAE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Children were excluded from the study if they had a gestational age at birth &lt;34 weeks, or underlying chronic cardiac or pulmonary disease (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eg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, broncho-pulmonary dysplasia, cystic fibrosis), recurrent wheezing, severe respiratory distress, as evidence by 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apnea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, heart rate&gt; 200 beats per minute, respiratory rate &gt;80 breath/minute, profound lethargy, duration of illness exceeding 15 days.</w:t>
            </w:r>
          </w:p>
          <w:p w14:paraId="063A6336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8FCB49C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N total at baseline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: </w:t>
            </w:r>
          </w:p>
          <w:p w14:paraId="61A97BAB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97 infants were randomized to 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the study protocol</w:t>
            </w:r>
          </w:p>
          <w:p w14:paraId="3DFA3566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94 patients achieved the study.</w:t>
            </w:r>
          </w:p>
          <w:p w14:paraId="42DF6192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0EAEFDE0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 xml:space="preserve">Intervention: </w:t>
            </w:r>
          </w:p>
          <w:p w14:paraId="6A4E3A10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Group 1: 31 patients received 5% hypertonic saline</w:t>
            </w:r>
          </w:p>
          <w:p w14:paraId="561660C9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Group 2: 37 a mixed 5% hypertonic</w:t>
            </w:r>
          </w:p>
          <w:p w14:paraId="338BEB38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saline and standard epinephrine</w:t>
            </w:r>
          </w:p>
          <w:p w14:paraId="19CB81E9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F4394D2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Control: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</w:t>
            </w:r>
          </w:p>
          <w:p w14:paraId="4EB11993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- 26 received normal saline (placebo) </w:t>
            </w:r>
          </w:p>
          <w:p w14:paraId="7B2EFBB5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47B50C1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Important prognostic factors</w:t>
            </w:r>
            <w:r>
              <w:rPr>
                <w:rFonts w:eastAsia="Calibri" w:cs="Calibri"/>
                <w:sz w:val="16"/>
                <w:szCs w:val="16"/>
                <w:u w:val="single"/>
                <w:vertAlign w:val="superscript"/>
                <w:lang w:val="en-GB" w:eastAsia="en-US"/>
              </w:rPr>
              <w:t>2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19D5DBA6" w14:textId="77777777" w:rsidR="00B9219D" w:rsidRDefault="00B9219D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age ± SD:</w:t>
            </w:r>
          </w:p>
          <w:p w14:paraId="3C58397C" w14:textId="77777777" w:rsidR="00B9219D" w:rsidRDefault="00B9219D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I: Group 1: 3,76±2,8</w:t>
            </w:r>
          </w:p>
          <w:p w14:paraId="1FA21D25" w14:textId="77777777" w:rsidR="00B9219D" w:rsidRDefault="00B9219D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 xml:space="preserve">   Group 2: 3,28±2,53</w:t>
            </w:r>
          </w:p>
          <w:p w14:paraId="2944D8C7" w14:textId="77777777" w:rsidR="00B9219D" w:rsidRDefault="00B9219D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C: 3,06±2,47</w:t>
            </w:r>
          </w:p>
          <w:p w14:paraId="513D16F2" w14:textId="77777777" w:rsidR="00B9219D" w:rsidRDefault="00B9219D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</w:p>
          <w:p w14:paraId="2FA614C9" w14:textId="77777777" w:rsidR="00B9219D" w:rsidRDefault="00B9219D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Sex % M:</w:t>
            </w:r>
          </w:p>
          <w:p w14:paraId="117838D1" w14:textId="77777777" w:rsidR="00B9219D" w:rsidRDefault="00B9219D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I: Group 1: 71%</w:t>
            </w:r>
          </w:p>
          <w:p w14:paraId="4C285C94" w14:textId="77777777" w:rsidR="00B9219D" w:rsidRDefault="00B9219D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 xml:space="preserve">   Group 2: 59%</w:t>
            </w:r>
          </w:p>
          <w:p w14:paraId="43746B83" w14:textId="77777777" w:rsidR="00B9219D" w:rsidRDefault="00B9219D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C: 54%</w:t>
            </w:r>
          </w:p>
          <w:p w14:paraId="644D60F2" w14:textId="77777777" w:rsidR="00B9219D" w:rsidRDefault="00B9219D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</w:p>
          <w:p w14:paraId="078D1463" w14:textId="77777777" w:rsidR="00B9219D" w:rsidRDefault="00B9219D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Baseline Wang Severity score:</w:t>
            </w:r>
          </w:p>
          <w:p w14:paraId="4A53BFBA" w14:textId="77777777" w:rsidR="00B9219D" w:rsidRDefault="00B9219D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I: Group 1: 5,35±1,4</w:t>
            </w:r>
          </w:p>
          <w:p w14:paraId="09EF3165" w14:textId="77777777" w:rsidR="00B9219D" w:rsidRDefault="00B9219D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 xml:space="preserve">   Group 2: 5,76±1,84</w:t>
            </w:r>
          </w:p>
          <w:p w14:paraId="3846959B" w14:textId="77777777" w:rsidR="00B9219D" w:rsidRDefault="00B9219D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C: 4,28±1,53</w:t>
            </w:r>
          </w:p>
          <w:p w14:paraId="06E631B4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80D8A6D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Groups comparable at baseline?</w:t>
            </w:r>
          </w:p>
          <w:p w14:paraId="4A844EBD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No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D8C04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Group 1: nebulized 5% hypertonic saline</w:t>
            </w:r>
          </w:p>
          <w:p w14:paraId="788149BF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(4ml)</w:t>
            </w:r>
          </w:p>
          <w:p w14:paraId="12F70B7E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A8091DA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Group 2: mixed 5% hypertonic saline with standard epinephrine </w:t>
            </w:r>
            <w:proofErr w:type="gram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( 2</w:t>
            </w:r>
            <w:proofErr w:type="gram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ml</w:t>
            </w:r>
          </w:p>
          <w:p w14:paraId="21683110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standard epinephrine + 2 ml 5% hypersaline)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F6A0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Control: normal saline placebo (4ml of normal saline)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1A5C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Length of follow-up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62D82B23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Infants were only monitored until hospital </w:t>
            </w:r>
            <w:proofErr w:type="gram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discharge;</w:t>
            </w:r>
            <w:proofErr w:type="gram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no follow-up.</w:t>
            </w:r>
          </w:p>
          <w:p w14:paraId="19FBD740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D7D7D8D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Loss-to-follow-up / incomplete data:</w:t>
            </w:r>
          </w:p>
          <w:p w14:paraId="0246791F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Three patients were excluded from statistical analyses: Two patients were withdrawn by the 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pediatric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inpatient team because of worsening clinical status during the first 24 hours. These patients had been</w:t>
            </w:r>
          </w:p>
          <w:p w14:paraId="64A14724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randomized to receive placebo. Another patient was withdrawn at</w:t>
            </w:r>
          </w:p>
          <w:p w14:paraId="1A3328B8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parents’ request because the parents refused the hospitalization.</w:t>
            </w:r>
          </w:p>
          <w:p w14:paraId="37ADCFE5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20D4EBF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bCs/>
                <w:sz w:val="16"/>
                <w:szCs w:val="16"/>
                <w:lang w:val="en-GB" w:eastAsia="en-US"/>
              </w:rPr>
              <w:t>NB: Only those who completed the study were included in the analyses.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C4F5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Wang clinical severity score, 30, 60, and 120 minutes after start treatment, mean (SD)</w:t>
            </w:r>
          </w:p>
          <w:p w14:paraId="609AE775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31AE6878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T30</w:t>
            </w:r>
          </w:p>
          <w:p w14:paraId="0AEA8BD4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Intervention:</w:t>
            </w:r>
          </w:p>
          <w:p w14:paraId="6302FB63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Group 1: 4,74±1,3</w:t>
            </w:r>
          </w:p>
          <w:p w14:paraId="0472E7B9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Group 2: 4,54±1,53</w:t>
            </w:r>
          </w:p>
          <w:p w14:paraId="4730671E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 xml:space="preserve">Control: 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4,42±1,8</w:t>
            </w:r>
          </w:p>
          <w:p w14:paraId="26F0CB9B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p=0,74</w:t>
            </w:r>
          </w:p>
          <w:p w14:paraId="7EBFCDC0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1F4533CA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T60</w:t>
            </w:r>
          </w:p>
          <w:p w14:paraId="3CE09BBB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Intervention:</w:t>
            </w:r>
          </w:p>
          <w:p w14:paraId="0FC33C7D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Group 1: 4,42±1,4</w:t>
            </w:r>
          </w:p>
          <w:p w14:paraId="4FF43BEF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Group 2: 4,3±1,45</w:t>
            </w:r>
          </w:p>
          <w:p w14:paraId="67AC2653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 xml:space="preserve">Control: 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4 ± 1,55</w:t>
            </w:r>
          </w:p>
          <w:p w14:paraId="52472A93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p=0,56</w:t>
            </w:r>
          </w:p>
          <w:p w14:paraId="0F391CE0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1D157E31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T120</w:t>
            </w:r>
          </w:p>
          <w:p w14:paraId="5C96D5D9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Intervention:</w:t>
            </w:r>
          </w:p>
          <w:p w14:paraId="2196BA94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Group 1: 4±1,48</w:t>
            </w:r>
          </w:p>
          <w:p w14:paraId="2E8083F4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Group 2: 3,68±1,25</w:t>
            </w:r>
          </w:p>
          <w:p w14:paraId="1352E65C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 xml:space="preserve">Control: 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3,76±1,56</w:t>
            </w:r>
          </w:p>
          <w:p w14:paraId="6E5C0C2B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p=0,63</w:t>
            </w:r>
          </w:p>
          <w:p w14:paraId="5C4BC907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26BF1AD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The mean time for discharge (</w:t>
            </w:r>
            <w:proofErr w:type="gramStart"/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SD)  days</w:t>
            </w:r>
            <w:proofErr w:type="gramEnd"/>
          </w:p>
          <w:p w14:paraId="62235569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009075A4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Intervention:</w:t>
            </w:r>
          </w:p>
          <w:p w14:paraId="40FDB58C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Group 1: 3,6± 1,7</w:t>
            </w:r>
          </w:p>
          <w:p w14:paraId="602A92B3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Group 2: 3,5±1,973</w:t>
            </w:r>
          </w:p>
          <w:p w14:paraId="5C4AD656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Control: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4,48±3,81 </w:t>
            </w:r>
          </w:p>
          <w:p w14:paraId="3E0D7E01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p=0,32</w:t>
            </w:r>
          </w:p>
        </w:tc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C142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No patients in either treatment group experienced clinically significant adverse side effects (tachycardia, flushing, tremor or bronchospasm)</w:t>
            </w:r>
          </w:p>
          <w:p w14:paraId="0CADD31A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38842EC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Criteria of discharge from the hospital included: no need for supplemental oxygen, Wang severity score less than 3 and adequate fluid intake.</w:t>
            </w:r>
          </w:p>
          <w:p w14:paraId="1D7C0D3C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B1484CC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NB: </w:t>
            </w:r>
          </w:p>
          <w:p w14:paraId="1D376353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Patients in control group were less often male and had a lower severity score at baseline than intervention groups. </w:t>
            </w:r>
          </w:p>
          <w:p w14:paraId="70EA1920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FD2E6BF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Article conclusion: Nebulized 5% hypertonic saline or mixed 5% hypertonic</w:t>
            </w:r>
          </w:p>
          <w:p w14:paraId="38EB0C9F" w14:textId="77777777" w:rsidR="00B9219D" w:rsidRDefault="00B9219D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saline with epinephrine </w:t>
            </w:r>
            <w:proofErr w:type="gram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are</w:t>
            </w:r>
            <w:proofErr w:type="gram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safe but do not appear effective in treating moderately ill infants with the first acute bronchiolitis.</w:t>
            </w:r>
          </w:p>
        </w:tc>
      </w:tr>
    </w:tbl>
    <w:p w14:paraId="3AAF90D9" w14:textId="77777777" w:rsidR="00482828" w:rsidRDefault="00482828"/>
    <w:sectPr w:rsidR="00482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75"/>
    <w:rsid w:val="00482828"/>
    <w:rsid w:val="00535775"/>
    <w:rsid w:val="00B9219D"/>
    <w:rsid w:val="00C1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1C2C2-DFB1-4A76-8C0B-CBDB564D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19D"/>
    <w:pPr>
      <w:spacing w:after="0" w:line="240" w:lineRule="auto"/>
      <w:jc w:val="both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35775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535775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75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75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535775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75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75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75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75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5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535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535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75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35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75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35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7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35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775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35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aliases w:val="Hyperlink FMS"/>
    <w:uiPriority w:val="99"/>
    <w:semiHidden/>
    <w:unhideWhenUsed/>
    <w:rsid w:val="00B9219D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9219D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B9219D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219D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219D"/>
    <w:pPr>
      <w:jc w:val="left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19D"/>
    <w:rPr>
      <w:rFonts w:ascii="Calibri" w:eastAsia="Calibri" w:hAnsi="Calibri" w:cs="Times New Roman"/>
      <w:kern w:val="0"/>
      <w:sz w:val="20"/>
      <w:szCs w:val="20"/>
      <w:lang w:val="nl-NL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1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19D"/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B9219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19D"/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B9219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219D"/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9219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9219D"/>
    <w:rPr>
      <w:rFonts w:ascii="Calibri" w:eastAsia="Times New Roman" w:hAnsi="Calibri" w:cs="Times New Roman"/>
      <w:kern w:val="0"/>
      <w:sz w:val="16"/>
      <w:szCs w:val="16"/>
      <w:lang w:val="nl-NL" w:eastAsia="nl-NL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1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19D"/>
    <w:rPr>
      <w:rFonts w:ascii="Calibri" w:eastAsia="Times New Roman" w:hAnsi="Calibri" w:cs="Times New Roman"/>
      <w:b/>
      <w:bCs/>
      <w:kern w:val="0"/>
      <w:sz w:val="20"/>
      <w:szCs w:val="20"/>
      <w:lang w:val="nl-NL" w:eastAsia="nl-NL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19D"/>
    <w:rPr>
      <w:rFonts w:ascii="Tahoma" w:eastAsia="Times New Roman" w:hAnsi="Tahoma" w:cs="Tahoma"/>
      <w:kern w:val="0"/>
      <w:sz w:val="16"/>
      <w:szCs w:val="16"/>
      <w:lang w:val="nl-NL" w:eastAsia="nl-NL"/>
      <w14:ligatures w14:val="none"/>
    </w:rPr>
  </w:style>
  <w:style w:type="paragraph" w:styleId="NoSpacing">
    <w:name w:val="No Spacing"/>
    <w:uiPriority w:val="1"/>
    <w:qFormat/>
    <w:rsid w:val="00B9219D"/>
    <w:pPr>
      <w:spacing w:after="0" w:line="240" w:lineRule="auto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Revision">
    <w:name w:val="Revision"/>
    <w:uiPriority w:val="99"/>
    <w:semiHidden/>
    <w:rsid w:val="00B9219D"/>
    <w:pPr>
      <w:spacing w:after="0" w:line="240" w:lineRule="auto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customStyle="1" w:styleId="Default">
    <w:name w:val="Default"/>
    <w:uiPriority w:val="99"/>
    <w:rsid w:val="00B9219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lang w:val="nl-NL" w:eastAsia="nl-NL"/>
      <w14:ligatures w14:val="none"/>
    </w:rPr>
  </w:style>
  <w:style w:type="character" w:customStyle="1" w:styleId="koprldbChar">
    <w:name w:val="kop rldb Char"/>
    <w:link w:val="koprldb"/>
    <w:locked/>
    <w:rsid w:val="00B9219D"/>
    <w:rPr>
      <w:b/>
    </w:rPr>
  </w:style>
  <w:style w:type="paragraph" w:customStyle="1" w:styleId="koprldb">
    <w:name w:val="kop rldb"/>
    <w:basedOn w:val="Normal"/>
    <w:link w:val="koprldbChar"/>
    <w:qFormat/>
    <w:rsid w:val="00B9219D"/>
    <w:pPr>
      <w:spacing w:after="200" w:line="276" w:lineRule="auto"/>
      <w:jc w:val="left"/>
    </w:pPr>
    <w:rPr>
      <w:rFonts w:asciiTheme="minorHAnsi" w:eastAsiaTheme="minorHAnsi" w:hAnsiTheme="minorHAnsi" w:cstheme="minorBidi"/>
      <w:b/>
      <w:kern w:val="2"/>
      <w:sz w:val="24"/>
      <w:lang w:val="en-GB" w:eastAsia="en-US"/>
      <w14:ligatures w14:val="standardContextual"/>
    </w:rPr>
  </w:style>
  <w:style w:type="paragraph" w:customStyle="1" w:styleId="xmsolistparagraph">
    <w:name w:val="x_msolistparagraph"/>
    <w:basedOn w:val="Normal"/>
    <w:uiPriority w:val="99"/>
    <w:rsid w:val="00B9219D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Kleurrijkelijst-accent11">
    <w:name w:val="Kleurrijke lijst - accent 11"/>
    <w:basedOn w:val="Normal"/>
    <w:uiPriority w:val="99"/>
    <w:qFormat/>
    <w:rsid w:val="00B9219D"/>
    <w:pPr>
      <w:ind w:left="720"/>
      <w:contextualSpacing/>
      <w:jc w:val="left"/>
    </w:pPr>
    <w:rPr>
      <w:rFonts w:ascii="Times New Roman" w:hAnsi="Times New Roman"/>
      <w:sz w:val="24"/>
      <w:lang w:eastAsia="en-US"/>
    </w:rPr>
  </w:style>
  <w:style w:type="paragraph" w:customStyle="1" w:styleId="BasistekstFMS">
    <w:name w:val="Basistekst FMS"/>
    <w:basedOn w:val="Normal"/>
    <w:uiPriority w:val="99"/>
    <w:qFormat/>
    <w:rsid w:val="00B9219D"/>
    <w:pPr>
      <w:spacing w:line="269" w:lineRule="atLeast"/>
      <w:jc w:val="left"/>
    </w:pPr>
    <w:rPr>
      <w:rFonts w:cs="Maiandra GD"/>
      <w:color w:val="000000"/>
      <w:sz w:val="22"/>
      <w:szCs w:val="18"/>
    </w:rPr>
  </w:style>
  <w:style w:type="character" w:styleId="FootnoteReference">
    <w:name w:val="footnote reference"/>
    <w:uiPriority w:val="99"/>
    <w:semiHidden/>
    <w:unhideWhenUsed/>
    <w:rsid w:val="00B9219D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B9219D"/>
    <w:rPr>
      <w:sz w:val="16"/>
      <w:szCs w:val="16"/>
    </w:rPr>
  </w:style>
  <w:style w:type="character" w:customStyle="1" w:styleId="Onopgelostemelding1">
    <w:name w:val="Onopgeloste melding1"/>
    <w:uiPriority w:val="99"/>
    <w:semiHidden/>
    <w:rsid w:val="00B9219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9219D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B9219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/>
      <w14:ligatures w14:val="none"/>
    </w:rPr>
    <w:tblPr>
      <w:tblStyleRowBandSize w:val="1"/>
      <w:tblStyleColBandSize w:val="1"/>
      <w:tblInd w:w="0" w:type="nil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elraster1">
    <w:name w:val="Tabelraster1"/>
    <w:basedOn w:val="TableNormal"/>
    <w:uiPriority w:val="39"/>
    <w:rsid w:val="00B9219D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2">
    <w:name w:val="Tabelraster2"/>
    <w:basedOn w:val="TableNormal"/>
    <w:uiPriority w:val="59"/>
    <w:rsid w:val="00B9219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Rastertabel2-Accent51">
    <w:name w:val="Rastertabel 2 - Accent 51"/>
    <w:basedOn w:val="TableNormal"/>
    <w:uiPriority w:val="47"/>
    <w:rsid w:val="00B9219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/>
      <w14:ligatures w14:val="none"/>
    </w:rPr>
    <w:tblPr>
      <w:tblStyleRowBandSize w:val="1"/>
      <w:tblStyleColBandSize w:val="1"/>
      <w:tblInd w:w="0" w:type="nil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elraster3">
    <w:name w:val="Tabelraster3"/>
    <w:basedOn w:val="TableNormal"/>
    <w:uiPriority w:val="39"/>
    <w:rsid w:val="00B9219D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1">
    <w:name w:val="Tabelraster11"/>
    <w:basedOn w:val="TableNormal"/>
    <w:uiPriority w:val="39"/>
    <w:rsid w:val="00B9219D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21">
    <w:name w:val="Tabelraster21"/>
    <w:basedOn w:val="TableNormal"/>
    <w:uiPriority w:val="59"/>
    <w:rsid w:val="00B9219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Vidal Pérez</dc:creator>
  <cp:keywords/>
  <dc:description/>
  <cp:lastModifiedBy>Carlos Vidal Pérez</cp:lastModifiedBy>
  <cp:revision>2</cp:revision>
  <dcterms:created xsi:type="dcterms:W3CDTF">2024-06-17T08:17:00Z</dcterms:created>
  <dcterms:modified xsi:type="dcterms:W3CDTF">2024-06-17T08:17:00Z</dcterms:modified>
</cp:coreProperties>
</file>