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6"/>
        <w:gridCol w:w="1228"/>
        <w:gridCol w:w="1381"/>
        <w:gridCol w:w="1942"/>
        <w:gridCol w:w="1943"/>
        <w:gridCol w:w="2035"/>
        <w:gridCol w:w="2074"/>
        <w:gridCol w:w="2071"/>
      </w:tblGrid>
      <w:tr w:rsidR="00EB1D23" w14:paraId="2AAEFFE3" w14:textId="77777777" w:rsidTr="003F28AC">
        <w:trPr>
          <w:trHeight w:val="11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FB7D" w14:textId="77777777" w:rsidR="00EB1D23" w:rsidRDefault="00EB1D23" w:rsidP="00AC6710">
            <w:pPr>
              <w:pStyle w:val="Hoofdtekst"/>
              <w:jc w:val="left"/>
            </w:pPr>
            <w:bookmarkStart w:id="0" w:name="_Hlk169511117"/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reference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C407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characteristics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FD4F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Patient characteristics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A573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Intervention (I)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203D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Comparison / control (C)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DC0D7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Follow-up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B89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Outcome measures and effect size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4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1F209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Comments</w:t>
            </w:r>
          </w:p>
        </w:tc>
      </w:tr>
      <w:tr w:rsidR="00EB1D23" w14:paraId="76F77057" w14:textId="77777777" w:rsidTr="003F28AC">
        <w:trPr>
          <w:trHeight w:val="99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B921" w14:textId="77777777" w:rsidR="00EB1D23" w:rsidRDefault="00EB1D23" w:rsidP="00AC6710">
            <w:pPr>
              <w:pStyle w:val="Hoofdtekst"/>
              <w:jc w:val="left"/>
            </w:pP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lastRenderedPageBreak/>
              <w:t>Ruangsomboon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, 2021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185B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"Type of study:</w:t>
            </w:r>
          </w:p>
          <w:p w14:paraId="400F2E1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Single-center open label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randomised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controlled trial </w:t>
            </w:r>
          </w:p>
          <w:p w14:paraId="216798FF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1E653F69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Setting and country:</w:t>
            </w:r>
          </w:p>
          <w:p w14:paraId="2D3E71A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Emergency department of Siriraj Hospital, a tertiary university hospital in Bangkok, Thailand </w:t>
            </w:r>
          </w:p>
          <w:p w14:paraId="4F9A79E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74430D72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Funding and conflicts of interest:</w:t>
            </w:r>
          </w:p>
          <w:p w14:paraId="4B67C4A7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Fisher &amp; Paykel Healthcare provided the NHF devices. The company played no role in the trial design, data collection, data analysis, or manuscript preparation."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066B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"Inclusion criteria:</w:t>
            </w:r>
          </w:p>
          <w:p w14:paraId="21332937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Adult patients with a known diagnosis of asthma, admitted to the ED with symptoms of an acute asthma exacerbation (defined as having a progressive increase in shortness of breath, cough and wheezing, and chest tightness) and hypoxia (defined as an oxygen saturation of &lt;95%)</w:t>
            </w:r>
          </w:p>
          <w:p w14:paraId="42C0DD80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7BFE4C0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Exclusion criteria:</w:t>
            </w:r>
          </w:p>
          <w:p w14:paraId="65B73175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Respiratory failure (respiratory rate &gt;35 breaths/minute or oxygen saturation &lt;90% or signs of increased work of breathing), a Glasgow Coma Scale score of &lt;13, contraindications for using airway pressurizing therapy, COPD, history of smoking &gt;5 pack-years, lung cancer.</w:t>
            </w:r>
          </w:p>
          <w:p w14:paraId="3FF14705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263E6BC7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lastRenderedPageBreak/>
              <w:t>n: 37 (I: 19, C: 18); age: I 64 C 63 (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: I 17 C 22) </w:t>
            </w:r>
          </w:p>
          <w:p w14:paraId="43B9666B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3A9AE865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Sex (% male): I: 16%; C: 17% </w:t>
            </w:r>
          </w:p>
          <w:p w14:paraId="63D2362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1273FFE9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Groups comparable at baseline: yes"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58A7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lastRenderedPageBreak/>
              <w:t xml:space="preserve">High-flow oxygen therapy using an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Optiflow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nasal canula at airflow of 35 L/min initially to achieve a O2 saturation of 95-99% or 90-92% if the initial saturation was &lt;92%, in addition to conventional asthma exacerbation treatment.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AB53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Standard oxygen nasal canula or nonrebreather mask, in addition to conventional asthma exacerbation treatment.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72E2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"Duration of follow-up: Duration of follow-up: During hospital stay</w:t>
            </w:r>
          </w:p>
          <w:p w14:paraId="011718F4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6E24FBBD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Loss-to-follow-up (n, reason): I: 1, Patient was intubated; </w:t>
            </w:r>
          </w:p>
          <w:p w14:paraId="1BDA7D38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2802A097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C: 1, Patient was intubated</w:t>
            </w:r>
          </w:p>
          <w:p w14:paraId="07D79321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74341D65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Incomplete outcome data (n, reason): I: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; </w:t>
            </w:r>
          </w:p>
          <w:p w14:paraId="0E58A5AE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79D8AC98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 xml:space="preserve">C: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"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3FC1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Treatment failure: I: </w:t>
            </w:r>
            <w:r>
              <w:rPr>
                <w:rStyle w:val="Geen"/>
                <w:sz w:val="16"/>
                <w:szCs w:val="16"/>
                <w:u w:val="single"/>
                <w:lang w:val="en-US"/>
              </w:rPr>
              <w:t>5.6</w:t>
            </w:r>
            <w:r>
              <w:rPr>
                <w:rStyle w:val="Geen"/>
                <w:sz w:val="16"/>
                <w:szCs w:val="16"/>
                <w:lang w:val="en-US"/>
              </w:rPr>
              <w:t xml:space="preserve">%; C 5.6%, p=0.97 (95% CI: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 (percentage for intervention group was reported incorrectly, should be 5.3%)</w:t>
            </w:r>
          </w:p>
          <w:p w14:paraId="3C347E65" w14:textId="77777777" w:rsidR="00EB1D23" w:rsidRDefault="00EB1D23" w:rsidP="00AC6710">
            <w:pPr>
              <w:pStyle w:val="Hoofdtekst"/>
              <w:jc w:val="left"/>
              <w:rPr>
                <w:rStyle w:val="Geen"/>
                <w:i/>
                <w:iCs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Difference: 0.29% (95% CI: -20 to 21) (calculated by TC,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Kennisinstituut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Federatie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Medisch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Specialisten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  <w:p w14:paraId="44E1B3C5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21BA668F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ED stay duration (hours): I: 4.4 (3.2-10.1); C: 6.8 (4.9-11.6), p=0.26 (95% CI: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  <w:p w14:paraId="06FD3533" w14:textId="77777777" w:rsidR="00EB1D23" w:rsidRDefault="00EB1D23" w:rsidP="00AC6710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3AEE9050" w14:textId="77777777" w:rsidR="00EB1D23" w:rsidRDefault="00EB1D23" w:rsidP="00AC6710">
            <w:pPr>
              <w:pStyle w:val="Hoofdtekst"/>
              <w:jc w:val="left"/>
            </w:pP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Hospitalisation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duration (hours): I: 9.6 (4.5-67.2); C: 12.0 (4.8-69.6), p=0.87 (95% CI: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31C09" w14:textId="77777777" w:rsidR="00EB1D23" w:rsidRDefault="00EB1D23" w:rsidP="00AC6710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Only p-values reported, furthermore a reasonably designed study in a small number of patients.</w:t>
            </w:r>
          </w:p>
        </w:tc>
      </w:tr>
      <w:bookmarkEnd w:id="0"/>
    </w:tbl>
    <w:p w14:paraId="78448D54" w14:textId="77777777" w:rsidR="00431DB4" w:rsidRDefault="00431DB4"/>
    <w:sectPr w:rsidR="00431DB4" w:rsidSect="003F28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6"/>
    <w:rsid w:val="00154702"/>
    <w:rsid w:val="003C223D"/>
    <w:rsid w:val="003F28AC"/>
    <w:rsid w:val="00431DB4"/>
    <w:rsid w:val="00EB1D23"/>
    <w:rsid w:val="00E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02AF-93AD-4063-A16F-5231628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F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7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F6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F6"/>
    <w:rPr>
      <w:b/>
      <w:bCs/>
      <w:smallCaps/>
      <w:color w:val="0F4761" w:themeColor="accent1" w:themeShade="BF"/>
      <w:spacing w:val="5"/>
    </w:rPr>
  </w:style>
  <w:style w:type="paragraph" w:customStyle="1" w:styleId="Hoofdtekst">
    <w:name w:val="Hoofdtekst"/>
    <w:rsid w:val="00EB1D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0"/>
      <w:sz w:val="23"/>
      <w:szCs w:val="23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Geen">
    <w:name w:val="Geen"/>
    <w:rsid w:val="00EB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3</cp:revision>
  <dcterms:created xsi:type="dcterms:W3CDTF">2024-06-11T14:49:00Z</dcterms:created>
  <dcterms:modified xsi:type="dcterms:W3CDTF">2024-06-17T08:08:00Z</dcterms:modified>
</cp:coreProperties>
</file>