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9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76"/>
        <w:gridCol w:w="1228"/>
        <w:gridCol w:w="1381"/>
        <w:gridCol w:w="1942"/>
        <w:gridCol w:w="1943"/>
        <w:gridCol w:w="2035"/>
        <w:gridCol w:w="2074"/>
        <w:gridCol w:w="2071"/>
      </w:tblGrid>
      <w:tr w:rsidR="007165FC" w14:paraId="365CD6AD" w14:textId="77777777" w:rsidTr="007165FC">
        <w:trPr>
          <w:trHeight w:val="111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A8CA" w14:textId="77777777" w:rsidR="007165FC" w:rsidRDefault="007165FC" w:rsidP="00D67263">
            <w:pPr>
              <w:pStyle w:val="Hoofdtekst"/>
              <w:jc w:val="left"/>
            </w:pPr>
            <w:r>
              <w:rPr>
                <w:rStyle w:val="Geen"/>
                <w:b/>
                <w:bCs/>
                <w:sz w:val="16"/>
                <w:szCs w:val="16"/>
                <w:lang w:val="en-US"/>
              </w:rPr>
              <w:t>Study reference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7377C" w14:textId="77777777" w:rsidR="007165FC" w:rsidRDefault="007165FC" w:rsidP="00D67263">
            <w:pPr>
              <w:pStyle w:val="Hoofdtekst"/>
              <w:jc w:val="left"/>
            </w:pPr>
            <w:r>
              <w:rPr>
                <w:rStyle w:val="Geen"/>
                <w:b/>
                <w:bCs/>
                <w:sz w:val="16"/>
                <w:szCs w:val="16"/>
                <w:lang w:val="en-US"/>
              </w:rPr>
              <w:t>Study characteristics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84B51" w14:textId="77777777" w:rsidR="007165FC" w:rsidRDefault="007165FC" w:rsidP="00D67263">
            <w:pPr>
              <w:pStyle w:val="Hoofdtekst"/>
              <w:jc w:val="left"/>
            </w:pPr>
            <w:r>
              <w:rPr>
                <w:rStyle w:val="Geen"/>
                <w:b/>
                <w:bCs/>
                <w:sz w:val="16"/>
                <w:szCs w:val="16"/>
                <w:lang w:val="en-US"/>
              </w:rPr>
              <w:t xml:space="preserve">Patient characteristics </w:t>
            </w:r>
            <w:r>
              <w:rPr>
                <w:rStyle w:val="Geen"/>
                <w:b/>
                <w:bCs/>
                <w:sz w:val="16"/>
                <w:szCs w:val="16"/>
                <w:vertAlign w:val="superscript"/>
                <w:lang w:val="en-US"/>
              </w:rPr>
              <w:t>2</w:t>
            </w:r>
            <w:r>
              <w:rPr>
                <w:rStyle w:val="Geen"/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E2FE7" w14:textId="77777777" w:rsidR="007165FC" w:rsidRDefault="007165FC" w:rsidP="00D67263">
            <w:pPr>
              <w:pStyle w:val="Hoofdtekst"/>
              <w:jc w:val="left"/>
            </w:pPr>
            <w:r>
              <w:rPr>
                <w:rStyle w:val="Geen"/>
                <w:b/>
                <w:bCs/>
                <w:sz w:val="16"/>
                <w:szCs w:val="16"/>
                <w:lang w:val="en-US"/>
              </w:rPr>
              <w:t>Intervention (I)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09AB8" w14:textId="77777777" w:rsidR="007165FC" w:rsidRDefault="007165FC" w:rsidP="00D67263">
            <w:pPr>
              <w:pStyle w:val="Hoofdtekst"/>
              <w:jc w:val="left"/>
            </w:pPr>
            <w:r>
              <w:rPr>
                <w:rStyle w:val="Geen"/>
                <w:b/>
                <w:bCs/>
                <w:sz w:val="16"/>
                <w:szCs w:val="16"/>
                <w:lang w:val="en-US"/>
              </w:rPr>
              <w:t xml:space="preserve">Comparison / control (C) </w:t>
            </w:r>
            <w:r>
              <w:rPr>
                <w:rStyle w:val="Geen"/>
                <w:b/>
                <w:bCs/>
                <w:sz w:val="16"/>
                <w:szCs w:val="16"/>
                <w:vertAlign w:val="superscript"/>
                <w:lang w:val="en-US"/>
              </w:rPr>
              <w:t>3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4A9A" w14:textId="77777777" w:rsidR="007165FC" w:rsidRDefault="007165FC" w:rsidP="00D67263">
            <w:pPr>
              <w:pStyle w:val="Hoofdtekst"/>
              <w:jc w:val="left"/>
            </w:pPr>
            <w:r>
              <w:rPr>
                <w:rStyle w:val="Geen"/>
                <w:b/>
                <w:bCs/>
                <w:sz w:val="16"/>
                <w:szCs w:val="16"/>
                <w:lang w:val="en-US"/>
              </w:rPr>
              <w:t>Follow-up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6D3E8" w14:textId="77777777" w:rsidR="007165FC" w:rsidRDefault="007165FC" w:rsidP="00D67263">
            <w:pPr>
              <w:pStyle w:val="Hoofdtekst"/>
              <w:jc w:val="left"/>
            </w:pPr>
            <w:r>
              <w:rPr>
                <w:rStyle w:val="Geen"/>
                <w:b/>
                <w:bCs/>
                <w:sz w:val="16"/>
                <w:szCs w:val="16"/>
                <w:lang w:val="en-US"/>
              </w:rPr>
              <w:t xml:space="preserve">Outcome measures and effect size </w:t>
            </w:r>
            <w:r>
              <w:rPr>
                <w:rStyle w:val="Geen"/>
                <w:b/>
                <w:bCs/>
                <w:sz w:val="16"/>
                <w:szCs w:val="16"/>
                <w:vertAlign w:val="superscript"/>
                <w:lang w:val="en-US"/>
              </w:rPr>
              <w:t>4</w:t>
            </w:r>
            <w:r>
              <w:rPr>
                <w:rStyle w:val="Geen"/>
                <w:b/>
                <w:bCs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3C94" w14:textId="77777777" w:rsidR="007165FC" w:rsidRDefault="007165FC" w:rsidP="00D67263">
            <w:pPr>
              <w:pStyle w:val="Hoofdtekst"/>
              <w:jc w:val="left"/>
            </w:pPr>
            <w:r>
              <w:rPr>
                <w:rStyle w:val="Geen"/>
                <w:b/>
                <w:bCs/>
                <w:sz w:val="16"/>
                <w:szCs w:val="16"/>
                <w:lang w:val="en-US"/>
              </w:rPr>
              <w:t>Comments</w:t>
            </w:r>
          </w:p>
        </w:tc>
      </w:tr>
      <w:tr w:rsidR="007165FC" w14:paraId="788AD78B" w14:textId="77777777" w:rsidTr="007165FC">
        <w:trPr>
          <w:trHeight w:val="797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8DAE" w14:textId="77777777" w:rsidR="007165FC" w:rsidRDefault="007165FC" w:rsidP="00D67263">
            <w:pPr>
              <w:pStyle w:val="Hoofdtekst"/>
              <w:jc w:val="left"/>
            </w:pPr>
            <w:r>
              <w:rPr>
                <w:rStyle w:val="Geen"/>
                <w:sz w:val="16"/>
                <w:szCs w:val="16"/>
                <w:lang w:val="en-US"/>
              </w:rPr>
              <w:t>Geng, 2020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C1618" w14:textId="77777777" w:rsidR="007165FC" w:rsidRDefault="007165FC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>"Type of study:</w:t>
            </w:r>
          </w:p>
          <w:p w14:paraId="1F484DF1" w14:textId="77777777" w:rsidR="007165FC" w:rsidRDefault="007165FC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 xml:space="preserve">Single center open label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randomised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 xml:space="preserve"> trial"</w:t>
            </w:r>
            <w:r>
              <w:rPr>
                <w:rStyle w:val="Geen"/>
                <w:sz w:val="16"/>
                <w:szCs w:val="16"/>
                <w:lang w:val="en-US"/>
              </w:rPr>
              <w:tab/>
            </w:r>
          </w:p>
          <w:p w14:paraId="33E2EB5F" w14:textId="77777777" w:rsidR="007165FC" w:rsidRDefault="007165FC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>"Setting and country:</w:t>
            </w:r>
          </w:p>
          <w:p w14:paraId="236C66AB" w14:textId="77777777" w:rsidR="007165FC" w:rsidRDefault="007165FC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>Affiliated Hospital of Inner Mongolia University for Nationalities (Inner Mongolia Autonomous Region, China)"</w:t>
            </w:r>
            <w:r>
              <w:rPr>
                <w:rStyle w:val="Geen"/>
                <w:sz w:val="16"/>
                <w:szCs w:val="16"/>
                <w:lang w:val="en-US"/>
              </w:rPr>
              <w:tab/>
            </w:r>
          </w:p>
          <w:p w14:paraId="10AB68B8" w14:textId="77777777" w:rsidR="007165FC" w:rsidRDefault="007165FC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>"Funding and conflicts of interest:</w:t>
            </w:r>
          </w:p>
          <w:p w14:paraId="1ADD0FF8" w14:textId="77777777" w:rsidR="007165FC" w:rsidRDefault="007165FC" w:rsidP="00D67263">
            <w:pPr>
              <w:pStyle w:val="Hoofdtekst"/>
              <w:jc w:val="left"/>
            </w:pPr>
            <w:r>
              <w:rPr>
                <w:rStyle w:val="Geen"/>
                <w:sz w:val="16"/>
                <w:szCs w:val="16"/>
                <w:lang w:val="en-US"/>
              </w:rPr>
              <w:t>None reported"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A6E9E" w14:textId="77777777" w:rsidR="007165FC" w:rsidRDefault="007165FC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>"Inclusion criteria:</w:t>
            </w:r>
          </w:p>
          <w:p w14:paraId="64326ED9" w14:textId="77777777" w:rsidR="007165FC" w:rsidRDefault="007165FC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>Adult patients with a primary diagnosis of acute severe bronchial asthma according to GINA as diagnosed by two independent physicians, PO2&lt;60mmHg under room air"</w:t>
            </w:r>
            <w:r>
              <w:rPr>
                <w:rStyle w:val="Geen"/>
                <w:sz w:val="16"/>
                <w:szCs w:val="16"/>
                <w:lang w:val="en-US"/>
              </w:rPr>
              <w:tab/>
            </w:r>
          </w:p>
          <w:p w14:paraId="7DD377A9" w14:textId="77777777" w:rsidR="007165FC" w:rsidRDefault="007165FC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>"Exclusion criteria:</w:t>
            </w:r>
          </w:p>
          <w:p w14:paraId="34A27FC3" w14:textId="77777777" w:rsidR="007165FC" w:rsidRDefault="007165FC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>Patient immediately required intubation; myocardial infarction; altered consciousness; hypotension (&lt;60/90 mmHg); pregnancy; RR&gt;45 breaths/minute; acidosis (&lt;7.30 pH); untreated pneumothorax; ESRD (GFR&lt;15 per 1.73 m2 or dialysis); contraindication for airway pressure devices; pneumonia"</w:t>
            </w:r>
            <w:r>
              <w:rPr>
                <w:rStyle w:val="Geen"/>
                <w:sz w:val="16"/>
                <w:szCs w:val="16"/>
                <w:lang w:val="en-US"/>
              </w:rPr>
              <w:tab/>
            </w:r>
          </w:p>
          <w:p w14:paraId="590C2EEF" w14:textId="77777777" w:rsidR="007165FC" w:rsidRDefault="007165FC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>N:36 (I: 16, C: 20), age: I 43 C 38 (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sd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>: I 11 C 8)</w:t>
            </w:r>
            <w:r>
              <w:rPr>
                <w:rStyle w:val="Geen"/>
                <w:sz w:val="16"/>
                <w:szCs w:val="16"/>
                <w:lang w:val="en-US"/>
              </w:rPr>
              <w:tab/>
            </w:r>
          </w:p>
          <w:p w14:paraId="43717186" w14:textId="77777777" w:rsidR="007165FC" w:rsidRDefault="007165FC" w:rsidP="00D67263">
            <w:pPr>
              <w:pStyle w:val="Hoofdtekst"/>
              <w:jc w:val="left"/>
              <w:rPr>
                <w:rStyle w:val="Geen"/>
                <w:sz w:val="16"/>
                <w:szCs w:val="16"/>
                <w:lang w:val="en-US"/>
              </w:rPr>
            </w:pPr>
          </w:p>
          <w:p w14:paraId="721CEE54" w14:textId="77777777" w:rsidR="007165FC" w:rsidRDefault="007165FC" w:rsidP="00D67263">
            <w:pPr>
              <w:pStyle w:val="Hoofdtekst"/>
              <w:jc w:val="left"/>
            </w:pPr>
            <w:r>
              <w:rPr>
                <w:rStyle w:val="Geen"/>
                <w:sz w:val="16"/>
                <w:szCs w:val="16"/>
                <w:lang w:val="en-US"/>
              </w:rPr>
              <w:t>I: 36%; C: 0.40%</w:t>
            </w:r>
            <w:r>
              <w:rPr>
                <w:rStyle w:val="Geen"/>
                <w:sz w:val="16"/>
                <w:szCs w:val="16"/>
                <w:lang w:val="en-US"/>
              </w:rPr>
              <w:tab/>
              <w:t>likely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005C0" w14:textId="77777777" w:rsidR="007165FC" w:rsidRDefault="007165FC" w:rsidP="00D67263">
            <w:pPr>
              <w:pStyle w:val="Hoofdtekst"/>
              <w:jc w:val="left"/>
            </w:pPr>
            <w:r>
              <w:rPr>
                <w:rStyle w:val="Geen"/>
                <w:sz w:val="16"/>
                <w:szCs w:val="16"/>
                <w:lang w:val="en-US"/>
              </w:rPr>
              <w:t>HFNC with AIRVO-2, gas flow 30-40 L/min, titrated to achieve 92-96% oxygen saturation, temperature between 31 and 37 degrees Celsius, in addition to conventional asthma exacerbation treatment.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96CB1" w14:textId="77777777" w:rsidR="007165FC" w:rsidRDefault="007165FC" w:rsidP="00D67263">
            <w:pPr>
              <w:pStyle w:val="Hoofdtekst"/>
              <w:jc w:val="left"/>
            </w:pPr>
            <w:r>
              <w:rPr>
                <w:rStyle w:val="Geen"/>
                <w:sz w:val="16"/>
                <w:szCs w:val="16"/>
                <w:lang w:val="en-US"/>
              </w:rPr>
              <w:t>Conventional oxygen inhalation methods, including nasal cannula, venturi mask, and storage balloon mask, based on the patient's condition, aimed to achieve 92-96% O2 saturation, in addition to conventional asthma exacerbation treatment.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BA940" w14:textId="77777777" w:rsidR="007165FC" w:rsidRDefault="007165FC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>"Duration of follow-up: Duration of follow-up: During hospital stay</w:t>
            </w:r>
          </w:p>
          <w:p w14:paraId="6C48EC1E" w14:textId="77777777" w:rsidR="007165FC" w:rsidRDefault="007165FC" w:rsidP="00D67263">
            <w:pPr>
              <w:pStyle w:val="Hoofdtekst"/>
              <w:jc w:val="left"/>
              <w:rPr>
                <w:rStyle w:val="Geen"/>
                <w:sz w:val="16"/>
                <w:szCs w:val="16"/>
                <w:lang w:val="en-US"/>
              </w:rPr>
            </w:pPr>
          </w:p>
          <w:p w14:paraId="44971C15" w14:textId="77777777" w:rsidR="007165FC" w:rsidRDefault="007165FC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 xml:space="preserve">Loss-to-follow-up (n, reason): I: 0,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na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 xml:space="preserve">; C: 0,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na</w:t>
            </w:r>
            <w:proofErr w:type="spellEnd"/>
          </w:p>
          <w:p w14:paraId="741D1BBB" w14:textId="77777777" w:rsidR="007165FC" w:rsidRDefault="007165FC" w:rsidP="00D67263">
            <w:pPr>
              <w:pStyle w:val="Hoofdtekst"/>
              <w:jc w:val="left"/>
              <w:rPr>
                <w:rStyle w:val="Geen"/>
                <w:sz w:val="16"/>
                <w:szCs w:val="16"/>
                <w:lang w:val="en-US"/>
              </w:rPr>
            </w:pPr>
          </w:p>
          <w:p w14:paraId="1BBDC76D" w14:textId="77777777" w:rsidR="007165FC" w:rsidRDefault="007165FC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 xml:space="preserve">Incomplete outcome data (n, reason): I: 0, </w:t>
            </w:r>
            <w:proofErr w:type="spellStart"/>
            <w:proofErr w:type="gramStart"/>
            <w:r>
              <w:rPr>
                <w:rStyle w:val="Geen"/>
                <w:sz w:val="16"/>
                <w:szCs w:val="16"/>
                <w:lang w:val="en-US"/>
              </w:rPr>
              <w:t>na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>;</w:t>
            </w:r>
            <w:proofErr w:type="gramEnd"/>
            <w:r>
              <w:rPr>
                <w:rStyle w:val="Geen"/>
                <w:sz w:val="16"/>
                <w:szCs w:val="16"/>
                <w:lang w:val="en-US"/>
              </w:rPr>
              <w:t xml:space="preserve"> </w:t>
            </w:r>
          </w:p>
          <w:p w14:paraId="5A98690D" w14:textId="77777777" w:rsidR="007165FC" w:rsidRDefault="007165FC" w:rsidP="00D67263">
            <w:pPr>
              <w:pStyle w:val="Hoofdtekst"/>
              <w:jc w:val="left"/>
              <w:rPr>
                <w:rStyle w:val="Geen"/>
                <w:sz w:val="16"/>
                <w:szCs w:val="16"/>
                <w:lang w:val="en-US"/>
              </w:rPr>
            </w:pPr>
          </w:p>
          <w:p w14:paraId="24030A5D" w14:textId="77777777" w:rsidR="007165FC" w:rsidRDefault="007165FC" w:rsidP="00D67263">
            <w:pPr>
              <w:pStyle w:val="Hoofdtekst"/>
              <w:jc w:val="left"/>
            </w:pPr>
            <w:r>
              <w:rPr>
                <w:rStyle w:val="Geen"/>
                <w:sz w:val="16"/>
                <w:szCs w:val="16"/>
                <w:lang w:val="en-US"/>
              </w:rPr>
              <w:t xml:space="preserve">C: 0,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na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>"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682E" w14:textId="77777777" w:rsidR="007165FC" w:rsidRDefault="007165FC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 xml:space="preserve">Treatment failure: I: 6.25%; C: 5%, p=0.87 (95% CI: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na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>)</w:t>
            </w:r>
          </w:p>
          <w:p w14:paraId="67F670BE" w14:textId="77777777" w:rsidR="007165FC" w:rsidRDefault="007165FC" w:rsidP="00D67263">
            <w:pPr>
              <w:pStyle w:val="Hoofdtekst"/>
              <w:jc w:val="left"/>
              <w:rPr>
                <w:rStyle w:val="Geen"/>
                <w:i/>
                <w:iCs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 xml:space="preserve">Difference: 1.25% (95% CI: -18.06 to 23.71) (calculated by TC,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Kennisinstituut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Federatie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Medisch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Specialisten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>)</w:t>
            </w:r>
          </w:p>
          <w:p w14:paraId="74502687" w14:textId="77777777" w:rsidR="007165FC" w:rsidRDefault="007165FC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r>
              <w:rPr>
                <w:rStyle w:val="Geen"/>
                <w:sz w:val="16"/>
                <w:szCs w:val="16"/>
                <w:lang w:val="en-US"/>
              </w:rPr>
              <w:tab/>
            </w:r>
          </w:p>
          <w:p w14:paraId="41E2EC66" w14:textId="77777777" w:rsidR="007165FC" w:rsidRDefault="007165FC" w:rsidP="00D67263">
            <w:pPr>
              <w:pStyle w:val="Hoofdtekst"/>
              <w:jc w:val="left"/>
              <w:rPr>
                <w:rStyle w:val="Geen"/>
                <w:sz w:val="16"/>
                <w:szCs w:val="16"/>
              </w:rPr>
            </w:pP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Hospitalisation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 xml:space="preserve"> duration (days): I: 6.54 (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sd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>: 1.85); C: 7.02 (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sd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 xml:space="preserve">: 2.32) </w:t>
            </w:r>
          </w:p>
          <w:p w14:paraId="3993D980" w14:textId="77777777" w:rsidR="007165FC" w:rsidRDefault="007165FC" w:rsidP="00D67263">
            <w:pPr>
              <w:pStyle w:val="Hoofdtekst"/>
              <w:jc w:val="left"/>
            </w:pPr>
            <w:r>
              <w:rPr>
                <w:rStyle w:val="Geen"/>
                <w:sz w:val="16"/>
                <w:szCs w:val="16"/>
                <w:lang w:val="en-US"/>
              </w:rPr>
              <w:t xml:space="preserve">Mean difference: 0.48 days (95% CI: -0.97 to 1.93) (calculated by TC,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Kennisinstituut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Federatie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Medisch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Style w:val="Geen"/>
                <w:sz w:val="16"/>
                <w:szCs w:val="16"/>
                <w:lang w:val="en-US"/>
              </w:rPr>
              <w:t>Specialisten</w:t>
            </w:r>
            <w:proofErr w:type="spellEnd"/>
            <w:r>
              <w:rPr>
                <w:rStyle w:val="Geen"/>
                <w:sz w:val="16"/>
                <w:szCs w:val="16"/>
                <w:lang w:val="en-US"/>
              </w:rPr>
              <w:t>)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BD22C" w14:textId="77777777" w:rsidR="007165FC" w:rsidRDefault="007165FC" w:rsidP="00D67263">
            <w:pPr>
              <w:pStyle w:val="Hoofdtekst"/>
              <w:jc w:val="left"/>
            </w:pPr>
            <w:r>
              <w:rPr>
                <w:rStyle w:val="Geen"/>
                <w:sz w:val="16"/>
                <w:szCs w:val="16"/>
                <w:lang w:val="en-US"/>
              </w:rPr>
              <w:t>Only p-values reported, furthermore a reasonably designed study in a small number of patients.</w:t>
            </w:r>
          </w:p>
        </w:tc>
      </w:tr>
    </w:tbl>
    <w:p w14:paraId="467A47FF" w14:textId="77777777" w:rsidR="004D2E7F" w:rsidRDefault="004D2E7F"/>
    <w:sectPr w:rsidR="004D2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75"/>
    <w:rsid w:val="00282875"/>
    <w:rsid w:val="003C223D"/>
    <w:rsid w:val="004D2E7F"/>
    <w:rsid w:val="0071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9BF09-CBEF-42FE-88E4-0E0D6CCB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5F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bdr w:val="nil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87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bdr w:val="none" w:sz="0" w:space="0" w:color="auto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87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bdr w:val="none" w:sz="0" w:space="0" w:color="auto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87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bdr w:val="none" w:sz="0" w:space="0" w:color="auto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87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bdr w:val="none" w:sz="0" w:space="0" w:color="auto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87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bdr w:val="none" w:sz="0" w:space="0" w:color="auto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87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bdr w:val="none" w:sz="0" w:space="0" w:color="auto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87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bdr w:val="none" w:sz="0" w:space="0" w:color="auto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87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bdr w:val="none" w:sz="0" w:space="0" w:color="auto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87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bdr w:val="none" w:sz="0" w:space="0" w:color="auto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87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bdr w:val="none" w:sz="0" w:space="0" w:color="auto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82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875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bdr w:val="none" w:sz="0" w:space="0" w:color="auto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82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87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bdr w:val="none" w:sz="0" w:space="0" w:color="auto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82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87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bdr w:val="none" w:sz="0" w:space="0" w:color="auto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82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875"/>
    <w:pPr>
      <w:pBdr>
        <w:top w:val="single" w:sz="4" w:space="10" w:color="0F4761" w:themeColor="accent1" w:themeShade="BF"/>
        <w:left w:val="none" w:sz="0" w:space="0" w:color="auto"/>
        <w:bottom w:val="single" w:sz="4" w:space="10" w:color="0F4761" w:themeColor="accent1" w:themeShade="BF"/>
        <w:right w:val="none" w:sz="0" w:space="0" w:color="auto"/>
        <w:between w:val="none" w:sz="0" w:space="0" w:color="auto"/>
        <w:bar w:val="none" w:sz="0" w:color="auto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bdr w:val="none" w:sz="0" w:space="0" w:color="auto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875"/>
    <w:rPr>
      <w:b/>
      <w:bCs/>
      <w:smallCaps/>
      <w:color w:val="0F4761" w:themeColor="accent1" w:themeShade="BF"/>
      <w:spacing w:val="5"/>
    </w:rPr>
  </w:style>
  <w:style w:type="paragraph" w:customStyle="1" w:styleId="Hoofdtekst">
    <w:name w:val="Hoofdtekst"/>
    <w:rsid w:val="007165F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Calibri" w:eastAsia="Arial Unicode MS" w:hAnsi="Calibri" w:cs="Arial Unicode MS"/>
      <w:color w:val="000000"/>
      <w:kern w:val="0"/>
      <w:sz w:val="23"/>
      <w:szCs w:val="23"/>
      <w:u w:color="000000"/>
      <w:bdr w:val="nil"/>
      <w:lang w:eastAsia="en-GB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Geen">
    <w:name w:val="Geen"/>
    <w:rsid w:val="00716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Vidal Pérez</dc:creator>
  <cp:keywords/>
  <dc:description/>
  <cp:lastModifiedBy>Carlos Vidal Pérez</cp:lastModifiedBy>
  <cp:revision>2</cp:revision>
  <dcterms:created xsi:type="dcterms:W3CDTF">2024-06-17T08:04:00Z</dcterms:created>
  <dcterms:modified xsi:type="dcterms:W3CDTF">2024-06-17T08:06:00Z</dcterms:modified>
</cp:coreProperties>
</file>