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Integração Censo Escolar 2025 × Ideb 2025 × INSE 2023</w:t>
      </w:r>
    </w:p>
    <w:p>
      <w:pPr>
        <w:spacing w:after="40"/>
      </w:pPr>
      <w:r>
        <w:rPr>
          <w:i/>
          <w:iCs/>
          <w:color w:val="555555"/>
          <w:sz w:val="26"/>
          <w:szCs w:val="26"/>
        </w:rPr>
        <w:t xml:space="preserve">Relatório de ETL e Estatísticas Descritivas da Base Tratada</w:t>
      </w:r>
    </w:p>
    <w:p>
      <w:pPr>
        <w:spacing w:after="300"/>
      </w:pPr>
      <w:r>
        <w:rPr>
          <w:color w:val="777777"/>
          <w:sz w:val="20"/>
          <w:szCs w:val="20"/>
        </w:rPr>
        <w:t xml:space="preserve">TCC — Visualização Interativa de Dados Educacionais | Sistemas de Informação</w:t>
      </w:r>
    </w:p>
    <w:p>
      <w:pPr>
        <w:pBdr>
          <w:bottom w:val="single" w:color="AAAAAA" w:sz="6" w:space="1"/>
        </w:pBdr>
        <w:spacing w:after="200"/>
      </w:pPr>
    </w:p>
    <w:p>
      <w:pPr>
        <w:spacing w:after="160"/>
      </w:pPr>
      <w:r>
        <w:rPr>
          <w:i/>
          <w:iCs/>
          <w:color w:val="777777"/>
          <w:sz w:val="20"/>
          <w:szCs w:val="20"/>
        </w:rPr>
        <w:t xml:space="preserve">Versão 3 — incorpora o Indicador de Nível Socioeconômico (INSE) 2023 como terceira dimensão de análise e restringe o escopo à rede pública (Federal, Estadual, Municipal), conforme decidido após a verificação de que escolas privadas não possuem Ideb nem INSE divulgados.</w:t>
      </w:r>
    </w:p>
    <w:p>
      <w:pPr>
        <w:spacing w:after="100"/>
      </w:pPr>
    </w:p>
    <w:p>
      <w:pPr>
        <w:pStyle w:val="Heading1"/>
        <w:spacing w:after="160" w:before="320"/>
      </w:pPr>
      <w:r>
        <w:t xml:space="preserve">1. Fontes de Dados Utilizadas</w:t>
      </w:r>
    </w:p>
    <w:p>
      <w:pPr>
        <w:spacing w:after="160"/>
      </w:pPr>
      <w:r>
        <w:t xml:space="preserve">A base tratada resulta da integração de seis arquivos brutos do Inep: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gridCol w:w="900"/>
        <w:gridCol w:w="1400"/>
      </w:tblGrid>
      <w:tr>
        <w:trPr>
          <w:tblHeader/>
        </w:trPr>
        <w:tc>
          <w:tcPr>
            <w:tcW w:type="dxa" w:w="3600"/>
            <w:shd w:fill="1F4E79" w:val="clear"/>
            <w:tcMar>
              <w:top w:type="dxa" w:w="80"/>
              <w:left w:type="dxa" w:w="100"/>
              <w:bottom w:type="dxa" w:w="80"/>
              <w:right w:type="dxa" w:w="100"/>
            </w:tcMar>
          </w:tcPr>
          <w:p>
            <w:pPr>
              <w:jc w:val="left"/>
            </w:pPr>
            <w:r>
              <w:rPr>
                <w:b/>
                <w:bCs/>
                <w:color w:val="FFFFFF"/>
                <w:sz w:val="20"/>
                <w:szCs w:val="20"/>
              </w:rPr>
              <w:t xml:space="preserve">Arquivo</w:t>
            </w:r>
          </w:p>
        </w:tc>
        <w:tc>
          <w:tcPr>
            <w:tcW w:type="dxa" w:w="3900"/>
            <w:shd w:fill="1F4E79" w:val="clear"/>
            <w:tcMar>
              <w:top w:type="dxa" w:w="80"/>
              <w:left w:type="dxa" w:w="100"/>
              <w:bottom w:type="dxa" w:w="80"/>
              <w:right w:type="dxa" w:w="100"/>
            </w:tcMar>
          </w:tcPr>
          <w:p>
            <w:pPr>
              <w:jc w:val="left"/>
            </w:pPr>
            <w:r>
              <w:rPr>
                <w:b/>
                <w:bCs/>
                <w:color w:val="FFFFFF"/>
                <w:sz w:val="20"/>
                <w:szCs w:val="20"/>
              </w:rPr>
              <w:t xml:space="preserve">Conteúdo</w:t>
            </w:r>
          </w:p>
        </w:tc>
        <w:tc>
          <w:tcPr>
            <w:tcW w:type="dxa" w:w="900"/>
            <w:shd w:fill="1F4E79" w:val="clear"/>
            <w:tcMar>
              <w:top w:type="dxa" w:w="80"/>
              <w:left w:type="dxa" w:w="100"/>
              <w:bottom w:type="dxa" w:w="80"/>
              <w:right w:type="dxa" w:w="100"/>
            </w:tcMar>
          </w:tcPr>
          <w:p>
            <w:pPr>
              <w:jc w:val="left"/>
            </w:pPr>
            <w:r>
              <w:rPr>
                <w:b/>
                <w:bCs/>
                <w:color w:val="FFFFFF"/>
                <w:sz w:val="20"/>
                <w:szCs w:val="20"/>
              </w:rPr>
              <w:t xml:space="preserve">Ano</w:t>
            </w:r>
          </w:p>
        </w:tc>
        <w:tc>
          <w:tcPr>
            <w:tcW w:type="dxa" w:w="1400"/>
            <w:shd w:fill="1F4E79" w:val="clear"/>
            <w:tcMar>
              <w:top w:type="dxa" w:w="80"/>
              <w:left w:type="dxa" w:w="100"/>
              <w:bottom w:type="dxa" w:w="80"/>
              <w:right w:type="dxa" w:w="100"/>
            </w:tcMar>
          </w:tcPr>
          <w:p>
            <w:pPr>
              <w:jc w:val="left"/>
            </w:pPr>
            <w:r>
              <w:rPr>
                <w:b/>
                <w:bCs/>
                <w:color w:val="FFFFFF"/>
                <w:sz w:val="20"/>
                <w:szCs w:val="20"/>
              </w:rPr>
              <w:t xml:space="preserve">Formato</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Tabela_Escola_2025_V2.csv</w:t>
            </w:r>
          </w:p>
        </w:tc>
        <w:tc>
          <w:tcPr>
            <w:tcW w:type="dxa" w:w="3900"/>
            <w:tcMar>
              <w:top w:type="dxa" w:w="80"/>
              <w:left w:type="dxa" w:w="100"/>
              <w:bottom w:type="dxa" w:w="80"/>
              <w:right w:type="dxa" w:w="100"/>
            </w:tcMar>
          </w:tcPr>
          <w:p>
            <w:pPr>
              <w:jc w:val="right"/>
            </w:pPr>
            <w:r>
              <w:rPr>
                <w:b w:val="false"/>
                <w:bCs w:val="false"/>
                <w:color w:val="000000"/>
                <w:sz w:val="20"/>
                <w:szCs w:val="20"/>
              </w:rPr>
              <w:t xml:space="preserve">Cadastro e infraestrutura das escolas (Censo Escolar)</w:t>
            </w:r>
          </w:p>
        </w:tc>
        <w:tc>
          <w:tcPr>
            <w:tcW w:type="dxa" w:w="900"/>
            <w:tcMar>
              <w:top w:type="dxa" w:w="80"/>
              <w:left w:type="dxa" w:w="100"/>
              <w:bottom w:type="dxa" w:w="80"/>
              <w:right w:type="dxa" w:w="100"/>
            </w:tcMar>
          </w:tcPr>
          <w:p>
            <w:pPr>
              <w:jc w:val="right"/>
            </w:pPr>
            <w:r>
              <w:rPr>
                <w:b w:val="false"/>
                <w:bCs w:val="false"/>
                <w:color w:val="000000"/>
                <w:sz w:val="20"/>
                <w:szCs w:val="20"/>
              </w:rPr>
              <w:t xml:space="preserve">2025</w:t>
            </w:r>
          </w:p>
        </w:tc>
        <w:tc>
          <w:tcPr>
            <w:tcW w:type="dxa" w:w="1400"/>
            <w:tcMar>
              <w:top w:type="dxa" w:w="80"/>
              <w:left w:type="dxa" w:w="100"/>
              <w:bottom w:type="dxa" w:w="80"/>
              <w:right w:type="dxa" w:w="100"/>
            </w:tcMar>
          </w:tcPr>
          <w:p>
            <w:pPr>
              <w:jc w:val="right"/>
            </w:pPr>
            <w:r>
              <w:rPr>
                <w:b w:val="false"/>
                <w:bCs w:val="false"/>
                <w:color w:val="000000"/>
                <w:sz w:val="20"/>
                <w:szCs w:val="20"/>
              </w:rPr>
              <w:t xml:space="preserve">CSV (;) latin-1</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Tabela_Matricula_2025_V2.csv</w:t>
            </w:r>
          </w:p>
        </w:tc>
        <w:tc>
          <w:tcPr>
            <w:tcW w:type="dxa" w:w="3900"/>
            <w:tcMar>
              <w:top w:type="dxa" w:w="80"/>
              <w:left w:type="dxa" w:w="100"/>
              <w:bottom w:type="dxa" w:w="80"/>
              <w:right w:type="dxa" w:w="100"/>
            </w:tcMar>
          </w:tcPr>
          <w:p>
            <w:pPr>
              <w:jc w:val="right"/>
            </w:pPr>
            <w:r>
              <w:rPr>
                <w:b w:val="false"/>
                <w:bCs w:val="false"/>
                <w:color w:val="000000"/>
                <w:sz w:val="20"/>
                <w:szCs w:val="20"/>
              </w:rPr>
              <w:t xml:space="preserve">Matrículas por escola, etapa e modalidade (Censo Escolar)</w:t>
            </w:r>
          </w:p>
        </w:tc>
        <w:tc>
          <w:tcPr>
            <w:tcW w:type="dxa" w:w="900"/>
            <w:tcMar>
              <w:top w:type="dxa" w:w="80"/>
              <w:left w:type="dxa" w:w="100"/>
              <w:bottom w:type="dxa" w:w="80"/>
              <w:right w:type="dxa" w:w="100"/>
            </w:tcMar>
          </w:tcPr>
          <w:p>
            <w:pPr>
              <w:jc w:val="right"/>
            </w:pPr>
            <w:r>
              <w:rPr>
                <w:b w:val="false"/>
                <w:bCs w:val="false"/>
                <w:color w:val="000000"/>
                <w:sz w:val="20"/>
                <w:szCs w:val="20"/>
              </w:rPr>
              <w:t xml:space="preserve">2025</w:t>
            </w:r>
          </w:p>
        </w:tc>
        <w:tc>
          <w:tcPr>
            <w:tcW w:type="dxa" w:w="1400"/>
            <w:tcMar>
              <w:top w:type="dxa" w:w="80"/>
              <w:left w:type="dxa" w:w="100"/>
              <w:bottom w:type="dxa" w:w="80"/>
              <w:right w:type="dxa" w:w="100"/>
            </w:tcMar>
          </w:tcPr>
          <w:p>
            <w:pPr>
              <w:jc w:val="right"/>
            </w:pPr>
            <w:r>
              <w:rPr>
                <w:b w:val="false"/>
                <w:bCs w:val="false"/>
                <w:color w:val="000000"/>
                <w:sz w:val="20"/>
                <w:szCs w:val="20"/>
              </w:rPr>
              <w:t xml:space="preserve">CSV (;) latin-1</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divulgacao_anos_iniciais_escolas_2025.xlsx</w:t>
            </w:r>
          </w:p>
        </w:tc>
        <w:tc>
          <w:tcPr>
            <w:tcW w:type="dxa" w:w="3900"/>
            <w:tcMar>
              <w:top w:type="dxa" w:w="80"/>
              <w:left w:type="dxa" w:w="100"/>
              <w:bottom w:type="dxa" w:w="80"/>
              <w:right w:type="dxa" w:w="100"/>
            </w:tcMar>
          </w:tcPr>
          <w:p>
            <w:pPr>
              <w:jc w:val="right"/>
            </w:pPr>
            <w:r>
              <w:rPr>
                <w:b w:val="false"/>
                <w:bCs w:val="false"/>
                <w:color w:val="000000"/>
                <w:sz w:val="20"/>
                <w:szCs w:val="20"/>
              </w:rPr>
              <w:t xml:space="preserve">Ideb — Anos Iniciais do Ensino Fundamental</w:t>
            </w:r>
          </w:p>
        </w:tc>
        <w:tc>
          <w:tcPr>
            <w:tcW w:type="dxa" w:w="900"/>
            <w:tcMar>
              <w:top w:type="dxa" w:w="80"/>
              <w:left w:type="dxa" w:w="100"/>
              <w:bottom w:type="dxa" w:w="80"/>
              <w:right w:type="dxa" w:w="100"/>
            </w:tcMar>
          </w:tcPr>
          <w:p>
            <w:pPr>
              <w:jc w:val="right"/>
            </w:pPr>
            <w:r>
              <w:rPr>
                <w:b w:val="false"/>
                <w:bCs w:val="false"/>
                <w:color w:val="000000"/>
                <w:sz w:val="20"/>
                <w:szCs w:val="20"/>
              </w:rPr>
              <w:t xml:space="preserve">2025</w:t>
            </w:r>
          </w:p>
        </w:tc>
        <w:tc>
          <w:tcPr>
            <w:tcW w:type="dxa" w:w="1400"/>
            <w:tcMar>
              <w:top w:type="dxa" w:w="80"/>
              <w:left w:type="dxa" w:w="100"/>
              <w:bottom w:type="dxa" w:w="80"/>
              <w:right w:type="dxa" w:w="100"/>
            </w:tcMar>
          </w:tcPr>
          <w:p>
            <w:pPr>
              <w:jc w:val="right"/>
            </w:pPr>
            <w:r>
              <w:rPr>
                <w:b w:val="false"/>
                <w:bCs w:val="false"/>
                <w:color w:val="000000"/>
                <w:sz w:val="20"/>
                <w:szCs w:val="20"/>
              </w:rPr>
              <w:t xml:space="preserve">XLSX</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divulgacao_anos_finais_escolas_2025.xlsx</w:t>
            </w:r>
          </w:p>
        </w:tc>
        <w:tc>
          <w:tcPr>
            <w:tcW w:type="dxa" w:w="3900"/>
            <w:tcMar>
              <w:top w:type="dxa" w:w="80"/>
              <w:left w:type="dxa" w:w="100"/>
              <w:bottom w:type="dxa" w:w="80"/>
              <w:right w:type="dxa" w:w="100"/>
            </w:tcMar>
          </w:tcPr>
          <w:p>
            <w:pPr>
              <w:jc w:val="right"/>
            </w:pPr>
            <w:r>
              <w:rPr>
                <w:b w:val="false"/>
                <w:bCs w:val="false"/>
                <w:color w:val="000000"/>
                <w:sz w:val="20"/>
                <w:szCs w:val="20"/>
              </w:rPr>
              <w:t xml:space="preserve">Ideb — Anos Finais do Ensino Fundamental</w:t>
            </w:r>
          </w:p>
        </w:tc>
        <w:tc>
          <w:tcPr>
            <w:tcW w:type="dxa" w:w="900"/>
            <w:tcMar>
              <w:top w:type="dxa" w:w="80"/>
              <w:left w:type="dxa" w:w="100"/>
              <w:bottom w:type="dxa" w:w="80"/>
              <w:right w:type="dxa" w:w="100"/>
            </w:tcMar>
          </w:tcPr>
          <w:p>
            <w:pPr>
              <w:jc w:val="right"/>
            </w:pPr>
            <w:r>
              <w:rPr>
                <w:b w:val="false"/>
                <w:bCs w:val="false"/>
                <w:color w:val="000000"/>
                <w:sz w:val="20"/>
                <w:szCs w:val="20"/>
              </w:rPr>
              <w:t xml:space="preserve">2025</w:t>
            </w:r>
          </w:p>
        </w:tc>
        <w:tc>
          <w:tcPr>
            <w:tcW w:type="dxa" w:w="1400"/>
            <w:tcMar>
              <w:top w:type="dxa" w:w="80"/>
              <w:left w:type="dxa" w:w="100"/>
              <w:bottom w:type="dxa" w:w="80"/>
              <w:right w:type="dxa" w:w="100"/>
            </w:tcMar>
          </w:tcPr>
          <w:p>
            <w:pPr>
              <w:jc w:val="right"/>
            </w:pPr>
            <w:r>
              <w:rPr>
                <w:b w:val="false"/>
                <w:bCs w:val="false"/>
                <w:color w:val="000000"/>
                <w:sz w:val="20"/>
                <w:szCs w:val="20"/>
              </w:rPr>
              <w:t xml:space="preserve">XLSX</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divulgacao_ensino_medio_escolas_2025.xlsx</w:t>
            </w:r>
          </w:p>
        </w:tc>
        <w:tc>
          <w:tcPr>
            <w:tcW w:type="dxa" w:w="3900"/>
            <w:tcMar>
              <w:top w:type="dxa" w:w="80"/>
              <w:left w:type="dxa" w:w="100"/>
              <w:bottom w:type="dxa" w:w="80"/>
              <w:right w:type="dxa" w:w="100"/>
            </w:tcMar>
          </w:tcPr>
          <w:p>
            <w:pPr>
              <w:jc w:val="right"/>
            </w:pPr>
            <w:r>
              <w:rPr>
                <w:b w:val="false"/>
                <w:bCs w:val="false"/>
                <w:color w:val="000000"/>
                <w:sz w:val="20"/>
                <w:szCs w:val="20"/>
              </w:rPr>
              <w:t xml:space="preserve">Ideb — Ensino Médio</w:t>
            </w:r>
          </w:p>
        </w:tc>
        <w:tc>
          <w:tcPr>
            <w:tcW w:type="dxa" w:w="900"/>
            <w:tcMar>
              <w:top w:type="dxa" w:w="80"/>
              <w:left w:type="dxa" w:w="100"/>
              <w:bottom w:type="dxa" w:w="80"/>
              <w:right w:type="dxa" w:w="100"/>
            </w:tcMar>
          </w:tcPr>
          <w:p>
            <w:pPr>
              <w:jc w:val="right"/>
            </w:pPr>
            <w:r>
              <w:rPr>
                <w:b w:val="false"/>
                <w:bCs w:val="false"/>
                <w:color w:val="000000"/>
                <w:sz w:val="20"/>
                <w:szCs w:val="20"/>
              </w:rPr>
              <w:t xml:space="preserve">2025</w:t>
            </w:r>
          </w:p>
        </w:tc>
        <w:tc>
          <w:tcPr>
            <w:tcW w:type="dxa" w:w="1400"/>
            <w:tcMar>
              <w:top w:type="dxa" w:w="80"/>
              <w:left w:type="dxa" w:w="100"/>
              <w:bottom w:type="dxa" w:w="80"/>
              <w:right w:type="dxa" w:w="100"/>
            </w:tcMar>
          </w:tcPr>
          <w:p>
            <w:pPr>
              <w:jc w:val="right"/>
            </w:pPr>
            <w:r>
              <w:rPr>
                <w:b w:val="false"/>
                <w:bCs w:val="false"/>
                <w:color w:val="000000"/>
                <w:sz w:val="20"/>
                <w:szCs w:val="20"/>
              </w:rPr>
              <w:t xml:space="preserve">XLSX</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INSE_2023_escolas_INSE_ESC_2023.csv</w:t>
            </w:r>
          </w:p>
        </w:tc>
        <w:tc>
          <w:tcPr>
            <w:tcW w:type="dxa" w:w="3900"/>
            <w:tcMar>
              <w:top w:type="dxa" w:w="80"/>
              <w:left w:type="dxa" w:w="100"/>
              <w:bottom w:type="dxa" w:w="80"/>
              <w:right w:type="dxa" w:w="100"/>
            </w:tcMar>
          </w:tcPr>
          <w:p>
            <w:pPr>
              <w:jc w:val="right"/>
            </w:pPr>
            <w:r>
              <w:rPr>
                <w:b w:val="false"/>
                <w:bCs w:val="false"/>
                <w:color w:val="000000"/>
                <w:sz w:val="20"/>
                <w:szCs w:val="20"/>
              </w:rPr>
              <w:t xml:space="preserve">Indicador de Nível Socioeconômico por escola</w:t>
            </w:r>
          </w:p>
        </w:tc>
        <w:tc>
          <w:tcPr>
            <w:tcW w:type="dxa" w:w="900"/>
            <w:tcMar>
              <w:top w:type="dxa" w:w="80"/>
              <w:left w:type="dxa" w:w="100"/>
              <w:bottom w:type="dxa" w:w="80"/>
              <w:right w:type="dxa" w:w="100"/>
            </w:tcMar>
          </w:tcPr>
          <w:p>
            <w:pPr>
              <w:jc w:val="right"/>
            </w:pPr>
            <w:r>
              <w:rPr>
                <w:b w:val="false"/>
                <w:bCs w:val="false"/>
                <w:color w:val="000000"/>
                <w:sz w:val="20"/>
                <w:szCs w:val="20"/>
              </w:rPr>
              <w:t xml:space="preserve">2023</w:t>
            </w:r>
          </w:p>
        </w:tc>
        <w:tc>
          <w:tcPr>
            <w:tcW w:type="dxa" w:w="1400"/>
            <w:tcMar>
              <w:top w:type="dxa" w:w="80"/>
              <w:left w:type="dxa" w:w="100"/>
              <w:bottom w:type="dxa" w:w="80"/>
              <w:right w:type="dxa" w:w="100"/>
            </w:tcMar>
          </w:tcPr>
          <w:p>
            <w:pPr>
              <w:jc w:val="right"/>
            </w:pPr>
            <w:r>
              <w:rPr>
                <w:b w:val="false"/>
                <w:bCs w:val="false"/>
                <w:color w:val="000000"/>
                <w:sz w:val="20"/>
                <w:szCs w:val="20"/>
              </w:rPr>
              <w:t xml:space="preserve">CSV (;) latin-1</w:t>
            </w:r>
          </w:p>
        </w:tc>
      </w:tr>
    </w:tbl>
    <w:p>
      <w:pPr>
        <w:spacing w:after="200"/>
      </w:pPr>
    </w:p>
    <w:p>
      <w:pPr>
        <w:pStyle w:val="Heading1"/>
        <w:spacing w:after="160" w:before="320"/>
      </w:pPr>
      <w:r>
        <w:t xml:space="preserve">2. Metodologia do ETL</w:t>
      </w:r>
    </w:p>
    <w:p>
      <w:pPr>
        <w:spacing w:after="160"/>
      </w:pPr>
      <w:r>
        <w:t xml:space="preserve">O pipeline foi implementado em Python (pandas + openpyxl), seguindo seis etapas sequenciais:</w:t>
      </w:r>
    </w:p>
    <w:p>
      <w:pPr>
        <w:pStyle w:val="Heading2"/>
        <w:spacing w:after="120" w:before="240"/>
      </w:pPr>
      <w:r>
        <w:t xml:space="preserve">2.1 Leitura do Ideb (3 planilhas → 1 tabela)</w:t>
      </w:r>
    </w:p>
    <w:p>
      <w:pPr>
        <w:spacing w:after="160"/>
      </w:pPr>
      <w:r>
        <w:t xml:space="preserve">As planilhas de divulgação do Ideb usam um cabeçalho em múltiplas linhas (título mesclado, sub-cabeçalho e, só então, a linha com os nomes técnicos das colunas). O script localiza automaticamente essa linha técnica — a primeira cujo valor na coluna A é "SG_UF" — em vez de assumir uma posição fixa, o que torna a leitura robusta a pequenas variações de layout entre edições.</w:t>
      </w:r>
    </w:p>
    <w:p>
      <w:pPr>
        <w:spacing w:after="160"/>
      </w:pPr>
      <w:r>
        <w:t xml:space="preserve">De cada planilha foram extraídas as colunas:</w:t>
      </w:r>
    </w:p>
    <w:p>
      <w:pPr>
        <w:pStyle w:val="ListParagraph"/>
        <w:numPr>
          <w:ilvl w:val="0"/>
          <w:numId w:val="1"/>
        </w:numPr>
        <w:spacing w:after="80"/>
      </w:pPr>
      <w:r>
        <w:t xml:space="preserve">ID_ESCOLA → chave de junção com o Censo Escolar (CO_ENTIDADE)</w:t>
      </w:r>
    </w:p>
    <w:p>
      <w:pPr>
        <w:pStyle w:val="ListParagraph"/>
        <w:numPr>
          <w:ilvl w:val="0"/>
          <w:numId w:val="1"/>
        </w:numPr>
        <w:spacing w:after="80"/>
      </w:pPr>
      <w:r>
        <w:t xml:space="preserve">REDE → rede de ensino declarada no próprio arquivo do Ideb</w:t>
      </w:r>
    </w:p>
    <w:p>
      <w:pPr>
        <w:pStyle w:val="ListParagraph"/>
        <w:numPr>
          <w:ilvl w:val="0"/>
          <w:numId w:val="1"/>
        </w:numPr>
        <w:spacing w:after="80"/>
      </w:pPr>
      <w:r>
        <w:t xml:space="preserve">VL_OBSERVADO_2025 → o indicador Ideb propriamente dito (escala 0–10)</w:t>
      </w:r>
    </w:p>
    <w:p>
      <w:pPr>
        <w:pStyle w:val="ListParagraph"/>
        <w:numPr>
          <w:ilvl w:val="0"/>
          <w:numId w:val="1"/>
        </w:numPr>
        <w:spacing w:after="80"/>
      </w:pPr>
      <w:r>
        <w:t xml:space="preserve">VL_NOTA_MEDIA_2025 → proficiência média no Saeb (componente do Ideb)</w:t>
      </w:r>
    </w:p>
    <w:p>
      <w:pPr>
        <w:pStyle w:val="ListParagraph"/>
        <w:numPr>
          <w:ilvl w:val="0"/>
          <w:numId w:val="1"/>
        </w:numPr>
        <w:spacing w:after="80"/>
      </w:pPr>
      <w:r>
        <w:t xml:space="preserve">VL_INDICADOR_REND_2025 → taxa de rendimento/aprovação (componente do Ideb)</w:t>
      </w:r>
    </w:p>
    <w:p>
      <w:pPr>
        <w:spacing w:after="160"/>
      </w:pPr>
      <w:r>
        <w:t xml:space="preserve">Valores sigilosos ou não aplicáveis, representados como "-" ou "*" nas planilhas originais, foram convertidos para nulo (NaN) via conversão numérica tolerante a erro. As três tabelas (anos iniciais, anos finais, ensino médio) foram empilhadas em uma única tabela longa, com uma coluna etapa_ensino identificando a origem de cada linha — ou seja, cada escola pode aparecer em até três linhas, uma por etapa ofertada.</w:t>
      </w:r>
    </w:p>
    <w:p>
      <w:pPr>
        <w:pStyle w:val="Heading2"/>
        <w:spacing w:after="120" w:before="240"/>
      </w:pPr>
      <w:r>
        <w:t xml:space="preserve">2.2 Leitura do Censo Escolar — Escolas</w:t>
      </w:r>
    </w:p>
    <w:p>
      <w:pPr>
        <w:spacing w:after="160"/>
      </w:pPr>
      <w:r>
        <w:t xml:space="preserve">Do arquivo Tabela_Escola_2025_V2.csv (separador ";", codificação latin-1) foram selecionadas as colunas relevantes ao projeto, organizadas em quatro grupos:</w:t>
      </w:r>
    </w:p>
    <w:p>
      <w:pPr>
        <w:pStyle w:val="ListParagraph"/>
        <w:numPr>
          <w:ilvl w:val="0"/>
          <w:numId w:val="1"/>
        </w:numPr>
        <w:spacing w:after="80"/>
      </w:pPr>
      <w:r>
        <w:t xml:space="preserve">Identificação/localização — escola, município, UF, dependência administrativa, localização urbana/rural</w:t>
      </w:r>
    </w:p>
    <w:p>
      <w:pPr>
        <w:pStyle w:val="ListParagraph"/>
        <w:numPr>
          <w:ilvl w:val="0"/>
          <w:numId w:val="1"/>
        </w:numPr>
        <w:spacing w:after="80"/>
      </w:pPr>
      <w:r>
        <w:t xml:space="preserve">Infraestrutura tecnológica — internet, banda larga, laboratório de informática, laboratório de ciências, presença de computadores, desktops e tablets por aluno</w:t>
      </w:r>
    </w:p>
    <w:p>
      <w:pPr>
        <w:pStyle w:val="ListParagraph"/>
        <w:numPr>
          <w:ilvl w:val="0"/>
          <w:numId w:val="1"/>
        </w:numPr>
        <w:spacing w:after="80"/>
      </w:pPr>
      <w:r>
        <w:t xml:space="preserve">Infraestrutura básica (saneamento) — água potável, energia elétrica e esgoto ligados à rede pública</w:t>
      </w:r>
    </w:p>
    <w:p>
      <w:pPr>
        <w:pStyle w:val="ListParagraph"/>
        <w:numPr>
          <w:ilvl w:val="0"/>
          <w:numId w:val="1"/>
        </w:numPr>
        <w:spacing w:after="80"/>
      </w:pPr>
      <w:r>
        <w:t xml:space="preserve">Infraestrutura física e pedagógica não tecnológica — banheiro (inclusive adaptado para PNE), biblioteca/sala de leitura, quadra de esportes, cozinha, refeitório, pátio coberto, parque infantil, sala de atendimento educacional especializado (AEE) e alimentação escolar</w:t>
      </w:r>
    </w:p>
    <w:p>
      <w:pPr>
        <w:spacing w:after="160"/>
      </w:pPr>
      <w:r>
        <w:t xml:space="preserve">Esse último grupo — infraestrutura básica e física não tecnológica — é a ampliação feita nesta versão do ETL em relação à primeira: a proposta do TCC menciona explicitamente "infraestrutura" além dos "recursos tecnológicos", e a primeira versão do pipeline havia considerado apenas o segundo. As oito colunas de acessibilidade (rampas, corrimão, elevador, piso tátil, sinalização sonora/tátil/visual) foram condensadas em um único indicador derivado, in_acessibilidade_algum_recurso, que marca 1 quando a escola possui pelo menos um desses recursos — mais direto de usar como filtro no dashboard do que oito colunas binárias separadas.</w:t>
      </w:r>
    </w:p>
    <w:p>
      <w:pPr>
        <w:spacing w:after="160"/>
      </w:pPr>
      <w:r>
        <w:t xml:space="preserve">Foram mantidas somente escolas com TP_SITUACAO_FUNCIONAMENTO = 1 ("em atividade"). Diferente da primeira versão, esta leitura já filtra a rede administrativa: mantém-se apenas TP_DEPENDENCIA ∈ {1, 2, 3} (Federal, Estadual, Municipal), excluindo escolas privadas (código 4) diretamente na origem. Essa decisão veio da análise da versão anterior da base: nenhuma das 1.161 escolas privadas então presentes tinha Ideb divulgado, e o mesmo se repete no INSE (arquivo que, por sua própria natureza, cobre apenas a rede pública). Manter a rede privada só adicionava linhas com dado nulo no par que interessa ao projeto (desempenho × contexto), sem ganho analítico — daí a exclusão logo na leitura, e não apenas como filtro posterior.</w:t>
      </w:r>
    </w:p>
    <w:p>
      <w:pPr>
        <w:pStyle w:val="Heading2"/>
        <w:spacing w:after="120" w:before="240"/>
      </w:pPr>
      <w:r>
        <w:t xml:space="preserve">2.3 Leitura do INSE 2023 — Indicador de Nível Socioeconômico</w:t>
      </w:r>
    </w:p>
    <w:p>
      <w:pPr>
        <w:spacing w:after="160"/>
      </w:pPr>
      <w:r>
        <w:t xml:space="preserve">O INSE é calculado pelo Inep a partir do questionário contextual respondido pelos próprios alunos no Saeb, e resume, em uma escala contínua, o nível socioeconômico médio do corpo discente de cada escola — posse de bens, escolaridade e renda da família, entre outros itens. Diferentemente do Ideb e do Censo Escolar, que têm periodicidade anual, o INSE só é recalculado a cada edição do Saeb (anos ímpares: 2019, 2021, 2023...). Do arquivo INSE_2023_escolas_INSE_ESC_2023.csv (separador ";", decimal com vírgula) foram extraídas três colunas:</w:t>
      </w:r>
    </w:p>
    <w:p>
      <w:pPr>
        <w:pStyle w:val="ListParagraph"/>
        <w:numPr>
          <w:ilvl w:val="0"/>
          <w:numId w:val="1"/>
        </w:numPr>
        <w:spacing w:after="80"/>
      </w:pPr>
      <w:r>
        <w:t xml:space="preserve">MEDIA_INSE → a nota do indicador em si (renomeada para inse_media)</w:t>
      </w:r>
    </w:p>
    <w:p>
      <w:pPr>
        <w:pStyle w:val="ListParagraph"/>
        <w:numPr>
          <w:ilvl w:val="0"/>
          <w:numId w:val="1"/>
        </w:numPr>
        <w:spacing w:after="80"/>
      </w:pPr>
      <w:r>
        <w:t xml:space="preserve">INSE_CLASSIFICACAO → a mesma nota convertida em faixa textual, do Nível I (mais baixo) ao Nível VIII (mais alto)</w:t>
      </w:r>
    </w:p>
    <w:p>
      <w:pPr>
        <w:pStyle w:val="ListParagraph"/>
        <w:numPr>
          <w:ilvl w:val="0"/>
          <w:numId w:val="1"/>
        </w:numPr>
        <w:spacing w:after="80"/>
      </w:pPr>
      <w:r>
        <w:t xml:space="preserve">QTD_ALUNOS_INSE → quantidade de alunos que embasou o cálculo naquela escola</w:t>
      </w:r>
    </w:p>
    <w:p>
      <w:pPr>
        <w:spacing w:after="160"/>
      </w:pPr>
      <w:r>
        <w:t xml:space="preserve">A junção com o restante da base usa a mesma chave já empregada no Ideb: ID_ESCOLA = CO_ENTIDADE. Por ser um indicador exclusivo da rede pública, essa base já chega naturalmente alinhada ao filtro aplicado na Seção 2.2 — não há escola privada para descartar aqui. O join é left (e não inner): nem toda escola pública tem INSE calculado, porque o Saeb exige uma amostra mínima de alunos respondentes, e escolas muito pequenas ficam de fora desse cálculo (assim como já ocorre com o próprio Ideb). Mantê-las na base, com o campo de INSE em branco, evita descartar escolas só por não terem esse indicador específico.</w:t>
      </w:r>
    </w:p>
    <w:p>
      <w:pPr>
        <w:pStyle w:val="Heading2"/>
        <w:spacing w:after="120" w:before="240"/>
      </w:pPr>
      <w:r>
        <w:t xml:space="preserve">2.3.1 Por que combinar o INSE 2023 com o Ideb/Censo 2025</w:t>
      </w:r>
    </w:p>
    <w:p>
      <w:pPr>
        <w:spacing w:after="160"/>
      </w:pPr>
      <w:r>
        <w:t xml:space="preserve">O INSE não é recalculado anualmente: depende do questionário contextual do Saeb, aplicado a cada dois anos. A edição de 2023 é, portanto, a mais recente disponível — o INSE referente ao Saeb 2025 (o mesmo que já gerou o Ideb 2025 usado neste trabalho) ainda não havia sido processado e divulgado publicamente no momento da coleta dos dados. Essa defasagem de dois anos entre o INSE e o restante da base é uma limitação conhecida e aceita na literatura que cruza os dois indicadores, já que o contexto socioeconômico do entorno de uma escola tende a mudar pouco nesse intervalo — diferente de indicadores de desempenho ou de infraestrutura, que podem variar mais rapidamente. Ainda assim, o INSE é tratado no projeto como uma variável de contexto (para comparação entre escolas de perfil socioeconômico semelhante), não como parte do cálculo do Ideb, o que reduz o risco de essa defasagem distorcer a análise.</w:t>
      </w:r>
    </w:p>
    <w:p>
      <w:pPr>
        <w:pStyle w:val="Heading2"/>
        <w:spacing w:after="120" w:before="240"/>
      </w:pPr>
      <w:r>
        <w:t xml:space="preserve">2.4 Leitura do Censo Escolar — Matrícula</w:t>
      </w:r>
    </w:p>
    <w:p>
      <w:pPr>
        <w:spacing w:after="160"/>
      </w:pPr>
      <w:r>
        <w:t xml:space="preserve">Do arquivo Tabela_Matricula_2025_V2.csv foram extraídas as matrículas totais e por etapa (QT_MAT_BAS, QT_MAT_FUND_AI, QT_MAT_FUND_AF, QT_MAT_MED). Como uma mesma escola pode ter mais de uma linha nesse arquivo (turnos/modalidades diferentes), os valores foram agregados por soma, agrupando por código da escola.</w:t>
      </w:r>
    </w:p>
    <w:p>
      <w:pPr>
        <w:pStyle w:val="Heading2"/>
        <w:spacing w:after="120" w:before="240"/>
      </w:pPr>
      <w:r>
        <w:t xml:space="preserve">2.5 Junção e indicadores derivados</w:t>
      </w:r>
    </w:p>
    <w:p>
      <w:pPr>
        <w:spacing w:after="160"/>
      </w:pPr>
      <w:r>
        <w:t xml:space="preserve">As bases foram unidas em três etapas, todas pelo código Inep da escola (CO_ENTIDADE / ID_ESCOLA):</w:t>
      </w:r>
    </w:p>
    <w:p>
      <w:pPr>
        <w:pStyle w:val="ListParagraph"/>
        <w:numPr>
          <w:ilvl w:val="0"/>
          <w:numId w:val="1"/>
        </w:numPr>
        <w:spacing w:after="80"/>
      </w:pPr>
      <w:r>
        <w:t xml:space="preserve">Escolas (já só rede pública) + Matrícula (left join) — toda escola pública em atividade é mantida, mesmo sem matrícula registrada</w:t>
      </w:r>
    </w:p>
    <w:p>
      <w:pPr>
        <w:pStyle w:val="ListParagraph"/>
        <w:numPr>
          <w:ilvl w:val="0"/>
          <w:numId w:val="1"/>
        </w:numPr>
        <w:spacing w:after="80"/>
      </w:pPr>
      <w:r>
        <w:t xml:space="preserve">Resultado + INSE (left join) — mantém a escola mesmo sem INSE calculado</w:t>
      </w:r>
    </w:p>
    <w:p>
      <w:pPr>
        <w:pStyle w:val="ListParagraph"/>
        <w:numPr>
          <w:ilvl w:val="0"/>
          <w:numId w:val="1"/>
        </w:numPr>
        <w:spacing w:after="80"/>
      </w:pPr>
      <w:r>
        <w:t xml:space="preserve">Resultado + Ideb (inner join) — mantidas apenas escolas com ao menos uma etapa avaliada pelo Ideb, já que essa é a variável-resposta do projeto</w:t>
      </w:r>
    </w:p>
    <w:p>
      <w:pPr>
        <w:spacing w:after="160"/>
      </w:pPr>
      <w:r>
        <w:t xml:space="preserve">Foram então calculados dois indicadores per capita, usados como eixo X nas visualizações:</w:t>
      </w:r>
    </w:p>
    <w:p>
      <w:pPr>
        <w:pStyle w:val="ListParagraph"/>
        <w:numPr>
          <w:ilvl w:val="0"/>
          <w:numId w:val="1"/>
        </w:numPr>
        <w:spacing w:after="80"/>
      </w:pPr>
      <w:r>
        <w:t xml:space="preserve">computadores_por_aluno = desktops disponíveis para alunos ÷ matrícula total</w:t>
      </w:r>
    </w:p>
    <w:p>
      <w:pPr>
        <w:pStyle w:val="ListParagraph"/>
        <w:numPr>
          <w:ilvl w:val="0"/>
          <w:numId w:val="1"/>
        </w:numPr>
        <w:spacing w:after="80"/>
      </w:pPr>
      <w:r>
        <w:t xml:space="preserve">tablets_por_aluno = tablets disponíveis para alunos ÷ matrícula total</w:t>
      </w:r>
    </w:p>
    <w:p>
      <w:pPr>
        <w:pStyle w:val="Heading2"/>
        <w:spacing w:after="120" w:before="240"/>
      </w:pPr>
      <w:r>
        <w:t xml:space="preserve">2.6 Exportação</w:t>
      </w:r>
    </w:p>
    <w:p>
      <w:pPr>
        <w:spacing w:after="160"/>
      </w:pPr>
      <w:r>
        <w:t xml:space="preserve">O resultado final foi exportado como escolas_ideb_infra_2025.csv, com uma linha por combinação escola × etapa de ensino, pronto para ser carregado no DuckDB-Wasm na Etapa 3 do cronograma.</w:t>
      </w:r>
    </w:p>
    <w:p>
      <w:pPr>
        <w:pBdr>
          <w:bottom w:val="single" w:color="AAAAAA" w:sz="6" w:space="1"/>
        </w:pBdr>
        <w:spacing w:after="200"/>
      </w:pPr>
    </w:p>
    <w:p>
      <w:pPr>
        <w:pStyle w:val="Heading1"/>
        <w:spacing w:after="160" w:before="320"/>
      </w:pPr>
      <w:r>
        <w:t xml:space="preserve">3. Volumetria da Base Tratada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300"/>
        <w:gridCol w:w="2500"/>
      </w:tblGrid>
      <w:tr>
        <w:trPr>
          <w:tblHeader/>
        </w:trPr>
        <w:tc>
          <w:tcPr>
            <w:tcW w:type="dxa" w:w="7300"/>
            <w:shd w:fill="1F4E79" w:val="clear"/>
            <w:tcMar>
              <w:top w:type="dxa" w:w="80"/>
              <w:left w:type="dxa" w:w="100"/>
              <w:bottom w:type="dxa" w:w="80"/>
              <w:right w:type="dxa" w:w="100"/>
            </w:tcMar>
          </w:tcPr>
          <w:p>
            <w:pPr>
              <w:jc w:val="left"/>
            </w:pPr>
            <w:r>
              <w:rPr>
                <w:b/>
                <w:bCs/>
                <w:color w:val="FFFFFF"/>
                <w:sz w:val="20"/>
                <w:szCs w:val="20"/>
              </w:rPr>
              <w:t xml:space="preserve">Métrica</w:t>
            </w:r>
          </w:p>
        </w:tc>
        <w:tc>
          <w:tcPr>
            <w:tcW w:type="dxa" w:w="2500"/>
            <w:shd w:fill="1F4E79" w:val="clear"/>
            <w:tcMar>
              <w:top w:type="dxa" w:w="80"/>
              <w:left w:type="dxa" w:w="100"/>
              <w:bottom w:type="dxa" w:w="80"/>
              <w:right w:type="dxa" w:w="100"/>
            </w:tcMar>
          </w:tcPr>
          <w:p>
            <w:pPr>
              <w:jc w:val="left"/>
            </w:pPr>
            <w:r>
              <w:rPr>
                <w:b/>
                <w:bCs/>
                <w:color w:val="FFFFFF"/>
                <w:sz w:val="20"/>
                <w:szCs w:val="20"/>
              </w:rPr>
              <w:t xml:space="preserve">Valor</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Escolas públicas em atividade no Censo (antes da junção)</w:t>
            </w:r>
          </w:p>
        </w:tc>
        <w:tc>
          <w:tcPr>
            <w:tcW w:type="dxa" w:w="2500"/>
            <w:tcMar>
              <w:top w:type="dxa" w:w="80"/>
              <w:left w:type="dxa" w:w="100"/>
              <w:bottom w:type="dxa" w:w="80"/>
              <w:right w:type="dxa" w:w="100"/>
            </w:tcMar>
          </w:tcPr>
          <w:p>
            <w:pPr>
              <w:jc w:val="right"/>
            </w:pPr>
            <w:r>
              <w:rPr>
                <w:b w:val="false"/>
                <w:bCs w:val="false"/>
                <w:color w:val="000000"/>
                <w:sz w:val="20"/>
                <w:szCs w:val="20"/>
              </w:rPr>
              <w:t xml:space="preserve">138.086</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Escolas com matrícula registrada (arquivo completo)</w:t>
            </w:r>
          </w:p>
        </w:tc>
        <w:tc>
          <w:tcPr>
            <w:tcW w:type="dxa" w:w="2500"/>
            <w:tcMar>
              <w:top w:type="dxa" w:w="80"/>
              <w:left w:type="dxa" w:w="100"/>
              <w:bottom w:type="dxa" w:w="80"/>
              <w:right w:type="dxa" w:w="100"/>
            </w:tcMar>
          </w:tcPr>
          <w:p>
            <w:pPr>
              <w:jc w:val="right"/>
            </w:pPr>
            <w:r>
              <w:rPr>
                <w:b w:val="false"/>
                <w:bCs w:val="false"/>
                <w:color w:val="000000"/>
                <w:sz w:val="20"/>
                <w:szCs w:val="20"/>
              </w:rPr>
              <w:t xml:space="preserve">178.766</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Escolas com INSE calculado (arquivo completo, só rede pública)</w:t>
            </w:r>
          </w:p>
        </w:tc>
        <w:tc>
          <w:tcPr>
            <w:tcW w:type="dxa" w:w="2500"/>
            <w:tcMar>
              <w:top w:type="dxa" w:w="80"/>
              <w:left w:type="dxa" w:w="100"/>
              <w:bottom w:type="dxa" w:w="80"/>
              <w:right w:type="dxa" w:w="100"/>
            </w:tcMar>
          </w:tcPr>
          <w:p>
            <w:pPr>
              <w:jc w:val="right"/>
            </w:pPr>
            <w:r>
              <w:rPr>
                <w:b w:val="false"/>
                <w:bCs w:val="false"/>
                <w:color w:val="000000"/>
                <w:sz w:val="20"/>
                <w:szCs w:val="20"/>
              </w:rPr>
              <w:t xml:space="preserve">69.756</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Linhas escola × etapa após junção com o Ideb</w:t>
            </w:r>
          </w:p>
        </w:tc>
        <w:tc>
          <w:tcPr>
            <w:tcW w:type="dxa" w:w="2500"/>
            <w:tcMar>
              <w:top w:type="dxa" w:w="80"/>
              <w:left w:type="dxa" w:w="100"/>
              <w:bottom w:type="dxa" w:w="80"/>
              <w:right w:type="dxa" w:w="100"/>
            </w:tcMar>
          </w:tcPr>
          <w:p>
            <w:pPr>
              <w:jc w:val="right"/>
            </w:pPr>
            <w:r>
              <w:rPr>
                <w:b w:val="false"/>
                <w:bCs w:val="false"/>
                <w:color w:val="000000"/>
                <w:sz w:val="20"/>
                <w:szCs w:val="20"/>
              </w:rPr>
              <w:t xml:space="preserve">127.395</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Escolas únicas na base final</w:t>
            </w:r>
          </w:p>
        </w:tc>
        <w:tc>
          <w:tcPr>
            <w:tcW w:type="dxa" w:w="2500"/>
            <w:tcMar>
              <w:top w:type="dxa" w:w="80"/>
              <w:left w:type="dxa" w:w="100"/>
              <w:bottom w:type="dxa" w:w="80"/>
              <w:right w:type="dxa" w:w="100"/>
            </w:tcMar>
          </w:tcPr>
          <w:p>
            <w:pPr>
              <w:jc w:val="right"/>
            </w:pPr>
            <w:r>
              <w:rPr>
                <w:b w:val="false"/>
                <w:bCs w:val="false"/>
                <w:color w:val="000000"/>
                <w:sz w:val="20"/>
                <w:szCs w:val="20"/>
              </w:rPr>
              <w:t xml:space="preserve">78.776</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 das escolas da base final com INSE preenchido</w:t>
            </w:r>
          </w:p>
        </w:tc>
        <w:tc>
          <w:tcPr>
            <w:tcW w:type="dxa" w:w="2500"/>
            <w:tcMar>
              <w:top w:type="dxa" w:w="80"/>
              <w:left w:type="dxa" w:w="100"/>
              <w:bottom w:type="dxa" w:w="80"/>
              <w:right w:type="dxa" w:w="100"/>
            </w:tcMar>
          </w:tcPr>
          <w:p>
            <w:pPr>
              <w:jc w:val="right"/>
            </w:pPr>
            <w:r>
              <w:rPr>
                <w:b w:val="false"/>
                <w:bCs w:val="false"/>
                <w:color w:val="000000"/>
                <w:sz w:val="20"/>
                <w:szCs w:val="20"/>
              </w:rPr>
              <w:t xml:space="preserve">91,0%</w:t>
            </w:r>
          </w:p>
        </w:tc>
      </w:tr>
      <w:tr>
        <w:tc>
          <w:tcPr>
            <w:tcW w:type="dxa" w:w="7300"/>
            <w:tcMar>
              <w:top w:type="dxa" w:w="80"/>
              <w:left w:type="dxa" w:w="100"/>
              <w:bottom w:type="dxa" w:w="80"/>
              <w:right w:type="dxa" w:w="100"/>
            </w:tcMar>
          </w:tcPr>
          <w:p>
            <w:pPr>
              <w:jc w:val="left"/>
            </w:pPr>
            <w:r>
              <w:rPr>
                <w:b w:val="false"/>
                <w:bCs w:val="false"/>
                <w:color w:val="000000"/>
                <w:sz w:val="20"/>
                <w:szCs w:val="20"/>
              </w:rPr>
              <w:t xml:space="preserve">Colunas na base final</w:t>
            </w:r>
          </w:p>
        </w:tc>
        <w:tc>
          <w:tcPr>
            <w:tcW w:type="dxa" w:w="2500"/>
            <w:tcMar>
              <w:top w:type="dxa" w:w="80"/>
              <w:left w:type="dxa" w:w="100"/>
              <w:bottom w:type="dxa" w:w="80"/>
              <w:right w:type="dxa" w:w="100"/>
            </w:tcMar>
          </w:tcPr>
          <w:p>
            <w:pPr>
              <w:jc w:val="right"/>
            </w:pPr>
            <w:r>
              <w:rPr>
                <w:b w:val="false"/>
                <w:bCs w:val="false"/>
                <w:color w:val="000000"/>
                <w:sz w:val="20"/>
                <w:szCs w:val="20"/>
              </w:rPr>
              <w:t xml:space="preserve">56</w:t>
            </w:r>
          </w:p>
        </w:tc>
      </w:tr>
    </w:tbl>
    <w:p>
      <w:pPr>
        <w:spacing w:after="200"/>
      </w:pPr>
    </w:p>
    <w:p>
      <w:pPr>
        <w:spacing w:after="160"/>
      </w:pPr>
      <w:r>
        <w:t xml:space="preserve">A redução de ~138 mil para ~79 mil escolas únicas ocorre porque o Ideb só é calculado (e divulgado) para escolas com um número mínimo de alunos avaliados no Saeb — creches, pré-escolas e escolas muito pequenas não entram nesse cálculo. Escolas privadas já não fazem parte da contagem inicial (foram excluídas na leitura do Censo Escolar, Seção 2.2), por não possuírem Ideb nem INSE divulgados nas bases oficiais utilizadas.</w:t>
      </w:r>
    </w:p>
    <w:p>
      <w:pPr>
        <w:pStyle w:val="Heading1"/>
        <w:spacing w:after="160" w:before="320"/>
      </w:pPr>
      <w:r>
        <w:t xml:space="preserve">4. Estatísticas do Ideb por Etapa de Ensino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200"/>
      </w:tblGrid>
      <w:tr>
        <w:trPr>
          <w:tblHeader/>
        </w:trPr>
        <w:tc>
          <w:tcPr>
            <w:tcW w:type="dxa" w:w="2200"/>
            <w:shd w:fill="1F4E79" w:val="clear"/>
            <w:tcMar>
              <w:top w:type="dxa" w:w="80"/>
              <w:left w:type="dxa" w:w="100"/>
              <w:bottom w:type="dxa" w:w="80"/>
              <w:right w:type="dxa" w:w="100"/>
            </w:tcMar>
          </w:tcPr>
          <w:p>
            <w:pPr>
              <w:jc w:val="left"/>
            </w:pPr>
            <w:r>
              <w:rPr>
                <w:b/>
                <w:bCs/>
                <w:color w:val="FFFFFF"/>
                <w:sz w:val="20"/>
                <w:szCs w:val="20"/>
              </w:rPr>
              <w:t xml:space="preserve">Etapa</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N (linhas)</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Ideb médio</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Desvio-padrão</w:t>
            </w:r>
          </w:p>
        </w:tc>
        <w:tc>
          <w:tcPr>
            <w:tcW w:type="dxa" w:w="2200"/>
            <w:shd w:fill="1F4E79" w:val="clear"/>
            <w:tcMar>
              <w:top w:type="dxa" w:w="80"/>
              <w:left w:type="dxa" w:w="100"/>
              <w:bottom w:type="dxa" w:w="80"/>
              <w:right w:type="dxa" w:w="100"/>
            </w:tcMar>
          </w:tcPr>
          <w:p>
            <w:pPr>
              <w:jc w:val="left"/>
            </w:pPr>
            <w:r>
              <w:rPr>
                <w:b/>
                <w:bCs/>
                <w:color w:val="FFFFFF"/>
                <w:sz w:val="20"/>
                <w:szCs w:val="20"/>
              </w:rPr>
              <w:t xml:space="preserve">% Ideb ausente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Anos Iniciais</w:t>
            </w:r>
          </w:p>
        </w:tc>
        <w:tc>
          <w:tcPr>
            <w:tcW w:type="dxa" w:w="1800"/>
            <w:tcMar>
              <w:top w:type="dxa" w:w="80"/>
              <w:left w:type="dxa" w:w="100"/>
              <w:bottom w:type="dxa" w:w="80"/>
              <w:right w:type="dxa" w:w="100"/>
            </w:tcMar>
          </w:tcPr>
          <w:p>
            <w:pPr>
              <w:jc w:val="right"/>
            </w:pPr>
            <w:r>
              <w:rPr>
                <w:b w:val="false"/>
                <w:bCs w:val="false"/>
                <w:color w:val="000000"/>
                <w:sz w:val="20"/>
                <w:szCs w:val="20"/>
              </w:rPr>
              <w:t xml:space="preserve">61.288</w:t>
            </w:r>
          </w:p>
        </w:tc>
        <w:tc>
          <w:tcPr>
            <w:tcW w:type="dxa" w:w="1800"/>
            <w:tcMar>
              <w:top w:type="dxa" w:w="80"/>
              <w:left w:type="dxa" w:w="100"/>
              <w:bottom w:type="dxa" w:w="80"/>
              <w:right w:type="dxa" w:w="100"/>
            </w:tcMar>
          </w:tcPr>
          <w:p>
            <w:pPr>
              <w:jc w:val="right"/>
            </w:pPr>
            <w:r>
              <w:rPr>
                <w:b w:val="false"/>
                <w:bCs w:val="false"/>
                <w:color w:val="000000"/>
                <w:sz w:val="20"/>
                <w:szCs w:val="20"/>
              </w:rPr>
              <w:t xml:space="preserve">6,05</w:t>
            </w:r>
          </w:p>
        </w:tc>
        <w:tc>
          <w:tcPr>
            <w:tcW w:type="dxa" w:w="1800"/>
            <w:tcMar>
              <w:top w:type="dxa" w:w="80"/>
              <w:left w:type="dxa" w:w="100"/>
              <w:bottom w:type="dxa" w:w="80"/>
              <w:right w:type="dxa" w:w="100"/>
            </w:tcMar>
          </w:tcPr>
          <w:p>
            <w:pPr>
              <w:jc w:val="right"/>
            </w:pPr>
            <w:r>
              <w:rPr>
                <w:b w:val="false"/>
                <w:bCs w:val="false"/>
                <w:color w:val="000000"/>
                <w:sz w:val="20"/>
                <w:szCs w:val="20"/>
              </w:rPr>
              <w:t xml:space="preserve">1,03</w:t>
            </w:r>
          </w:p>
        </w:tc>
        <w:tc>
          <w:tcPr>
            <w:tcW w:type="dxa" w:w="2200"/>
            <w:tcMar>
              <w:top w:type="dxa" w:w="80"/>
              <w:left w:type="dxa" w:w="100"/>
              <w:bottom w:type="dxa" w:w="80"/>
              <w:right w:type="dxa" w:w="100"/>
            </w:tcMar>
          </w:tcPr>
          <w:p>
            <w:pPr>
              <w:jc w:val="right"/>
            </w:pPr>
            <w:r>
              <w:rPr>
                <w:b w:val="false"/>
                <w:bCs w:val="false"/>
                <w:color w:val="000000"/>
                <w:sz w:val="20"/>
                <w:szCs w:val="20"/>
              </w:rPr>
              <w:t xml:space="preserve">30,7%</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Anos Finais</w:t>
            </w:r>
          </w:p>
        </w:tc>
        <w:tc>
          <w:tcPr>
            <w:tcW w:type="dxa" w:w="1800"/>
            <w:tcMar>
              <w:top w:type="dxa" w:w="80"/>
              <w:left w:type="dxa" w:w="100"/>
              <w:bottom w:type="dxa" w:w="80"/>
              <w:right w:type="dxa" w:w="100"/>
            </w:tcMar>
          </w:tcPr>
          <w:p>
            <w:pPr>
              <w:jc w:val="right"/>
            </w:pPr>
            <w:r>
              <w:rPr>
                <w:b w:val="false"/>
                <w:bCs w:val="false"/>
                <w:color w:val="000000"/>
                <w:sz w:val="20"/>
                <w:szCs w:val="20"/>
              </w:rPr>
              <w:t xml:space="preserve">45.649</w:t>
            </w:r>
          </w:p>
        </w:tc>
        <w:tc>
          <w:tcPr>
            <w:tcW w:type="dxa" w:w="1800"/>
            <w:tcMar>
              <w:top w:type="dxa" w:w="80"/>
              <w:left w:type="dxa" w:w="100"/>
              <w:bottom w:type="dxa" w:w="80"/>
              <w:right w:type="dxa" w:w="100"/>
            </w:tcMar>
          </w:tcPr>
          <w:p>
            <w:pPr>
              <w:jc w:val="right"/>
            </w:pPr>
            <w:r>
              <w:rPr>
                <w:b w:val="false"/>
                <w:bCs w:val="false"/>
                <w:color w:val="000000"/>
                <w:sz w:val="20"/>
                <w:szCs w:val="20"/>
              </w:rPr>
              <w:t xml:space="preserve">4,99</w:t>
            </w:r>
          </w:p>
        </w:tc>
        <w:tc>
          <w:tcPr>
            <w:tcW w:type="dxa" w:w="1800"/>
            <w:tcMar>
              <w:top w:type="dxa" w:w="80"/>
              <w:left w:type="dxa" w:w="100"/>
              <w:bottom w:type="dxa" w:w="80"/>
              <w:right w:type="dxa" w:w="100"/>
            </w:tcMar>
          </w:tcPr>
          <w:p>
            <w:pPr>
              <w:jc w:val="right"/>
            </w:pPr>
            <w:r>
              <w:rPr>
                <w:b w:val="false"/>
                <w:bCs w:val="false"/>
                <w:color w:val="000000"/>
                <w:sz w:val="20"/>
                <w:szCs w:val="20"/>
              </w:rPr>
              <w:t xml:space="preserve">0,89</w:t>
            </w:r>
          </w:p>
        </w:tc>
        <w:tc>
          <w:tcPr>
            <w:tcW w:type="dxa" w:w="2200"/>
            <w:tcMar>
              <w:top w:type="dxa" w:w="80"/>
              <w:left w:type="dxa" w:w="100"/>
              <w:bottom w:type="dxa" w:w="80"/>
              <w:right w:type="dxa" w:w="100"/>
            </w:tcMar>
          </w:tcPr>
          <w:p>
            <w:pPr>
              <w:jc w:val="right"/>
            </w:pPr>
            <w:r>
              <w:rPr>
                <w:b w:val="false"/>
                <w:bCs w:val="false"/>
                <w:color w:val="000000"/>
                <w:sz w:val="20"/>
                <w:szCs w:val="20"/>
              </w:rPr>
              <w:t xml:space="preserve">26,7%</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Ensino Médio</w:t>
            </w:r>
          </w:p>
        </w:tc>
        <w:tc>
          <w:tcPr>
            <w:tcW w:type="dxa" w:w="1800"/>
            <w:tcMar>
              <w:top w:type="dxa" w:w="80"/>
              <w:left w:type="dxa" w:w="100"/>
              <w:bottom w:type="dxa" w:w="80"/>
              <w:right w:type="dxa" w:w="100"/>
            </w:tcMar>
          </w:tcPr>
          <w:p>
            <w:pPr>
              <w:jc w:val="right"/>
            </w:pPr>
            <w:r>
              <w:rPr>
                <w:b w:val="false"/>
                <w:bCs w:val="false"/>
                <w:color w:val="000000"/>
                <w:sz w:val="20"/>
                <w:szCs w:val="20"/>
              </w:rPr>
              <w:t xml:space="preserve">20.458</w:t>
            </w:r>
          </w:p>
        </w:tc>
        <w:tc>
          <w:tcPr>
            <w:tcW w:type="dxa" w:w="1800"/>
            <w:tcMar>
              <w:top w:type="dxa" w:w="80"/>
              <w:left w:type="dxa" w:w="100"/>
              <w:bottom w:type="dxa" w:w="80"/>
              <w:right w:type="dxa" w:w="100"/>
            </w:tcMar>
          </w:tcPr>
          <w:p>
            <w:pPr>
              <w:jc w:val="right"/>
            </w:pPr>
            <w:r>
              <w:rPr>
                <w:b w:val="false"/>
                <w:bCs w:val="false"/>
                <w:color w:val="000000"/>
                <w:sz w:val="20"/>
                <w:szCs w:val="20"/>
              </w:rPr>
              <w:t xml:space="preserve">4,44</w:t>
            </w:r>
          </w:p>
        </w:tc>
        <w:tc>
          <w:tcPr>
            <w:tcW w:type="dxa" w:w="1800"/>
            <w:tcMar>
              <w:top w:type="dxa" w:w="80"/>
              <w:left w:type="dxa" w:w="100"/>
              <w:bottom w:type="dxa" w:w="80"/>
              <w:right w:type="dxa" w:w="100"/>
            </w:tcMar>
          </w:tcPr>
          <w:p>
            <w:pPr>
              <w:jc w:val="right"/>
            </w:pPr>
            <w:r>
              <w:rPr>
                <w:b w:val="false"/>
                <w:bCs w:val="false"/>
                <w:color w:val="000000"/>
                <w:sz w:val="20"/>
                <w:szCs w:val="20"/>
              </w:rPr>
              <w:t xml:space="preserve">0,71</w:t>
            </w:r>
          </w:p>
        </w:tc>
        <w:tc>
          <w:tcPr>
            <w:tcW w:type="dxa" w:w="2200"/>
            <w:tcMar>
              <w:top w:type="dxa" w:w="80"/>
              <w:left w:type="dxa" w:w="100"/>
              <w:bottom w:type="dxa" w:w="80"/>
              <w:right w:type="dxa" w:w="100"/>
            </w:tcMar>
          </w:tcPr>
          <w:p>
            <w:pPr>
              <w:jc w:val="right"/>
            </w:pPr>
            <w:r>
              <w:rPr>
                <w:b w:val="false"/>
                <w:bCs w:val="false"/>
                <w:color w:val="000000"/>
                <w:sz w:val="20"/>
                <w:szCs w:val="20"/>
              </w:rPr>
              <w:t xml:space="preserve">14,0%</w:t>
            </w:r>
          </w:p>
        </w:tc>
      </w:tr>
    </w:tbl>
    <w:p>
      <w:pPr>
        <w:spacing w:after="160"/>
      </w:pPr>
    </w:p>
    <w:p>
      <w:pPr>
        <w:spacing w:after="160"/>
      </w:pPr>
      <w:r>
        <w:t xml:space="preserve">O padrão observado — Ideb decrescente conforme a etapa avança (6,05 → 4,99 → 4,44) — é consistente com a literatura educacional brasileira, que associa etapas mais avançadas a maior evasão, reprovação e defasagem idade-série, pressionando o componente de rendimento do indicador para baixo.</w:t>
      </w:r>
    </w:p>
    <w:p>
      <w:pPr>
        <w:pStyle w:val="Heading1"/>
        <w:spacing w:after="160" w:before="320"/>
      </w:pPr>
      <w:r>
        <w:t xml:space="preserve">5. Ideb por Rede de Ensino e por Localização</w:t>
      </w:r>
    </w:p>
    <w:p>
      <w:pPr>
        <w:pStyle w:val="Heading2"/>
        <w:spacing w:after="120" w:before="240"/>
      </w:pPr>
      <w:r>
        <w:t xml:space="preserve">5.1 Rede de ensino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1F4E79" w:val="clear"/>
            <w:tcMar>
              <w:top w:type="dxa" w:w="80"/>
              <w:left w:type="dxa" w:w="100"/>
              <w:bottom w:type="dxa" w:w="80"/>
              <w:right w:type="dxa" w:w="100"/>
            </w:tcMar>
          </w:tcPr>
          <w:p>
            <w:pPr>
              <w:jc w:val="left"/>
            </w:pPr>
            <w:r>
              <w:rPr>
                <w:b/>
                <w:bCs/>
                <w:color w:val="FFFFFF"/>
                <w:sz w:val="20"/>
                <w:szCs w:val="20"/>
              </w:rPr>
              <w:t xml:space="preserve">Rede</w:t>
            </w:r>
          </w:p>
        </w:tc>
        <w:tc>
          <w:tcPr>
            <w:tcW w:type="dxa" w:w="3000"/>
            <w:shd w:fill="1F4E79" w:val="clear"/>
            <w:tcMar>
              <w:top w:type="dxa" w:w="80"/>
              <w:left w:type="dxa" w:w="100"/>
              <w:bottom w:type="dxa" w:w="80"/>
              <w:right w:type="dxa" w:w="100"/>
            </w:tcMar>
          </w:tcPr>
          <w:p>
            <w:pPr>
              <w:jc w:val="left"/>
            </w:pPr>
            <w:r>
              <w:rPr>
                <w:b/>
                <w:bCs/>
                <w:color w:val="FFFFFF"/>
                <w:sz w:val="20"/>
                <w:szCs w:val="20"/>
              </w:rPr>
              <w:t xml:space="preserve">N (linhas)</w:t>
            </w:r>
          </w:p>
        </w:tc>
        <w:tc>
          <w:tcPr>
            <w:tcW w:type="dxa" w:w="3800"/>
            <w:shd w:fill="1F4E79" w:val="clear"/>
            <w:tcMar>
              <w:top w:type="dxa" w:w="80"/>
              <w:left w:type="dxa" w:w="100"/>
              <w:bottom w:type="dxa" w:w="80"/>
              <w:right w:type="dxa" w:w="100"/>
            </w:tcMar>
          </w:tcPr>
          <w:p>
            <w:pPr>
              <w:jc w:val="left"/>
            </w:pPr>
            <w:r>
              <w:rPr>
                <w:b/>
                <w:bCs/>
                <w:color w:val="FFFFFF"/>
                <w:sz w:val="20"/>
                <w:szCs w:val="20"/>
              </w:rPr>
              <w:t xml:space="preserve">Ideb médio</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Municipal</w:t>
            </w:r>
          </w:p>
        </w:tc>
        <w:tc>
          <w:tcPr>
            <w:tcW w:type="dxa" w:w="3000"/>
            <w:tcMar>
              <w:top w:type="dxa" w:w="80"/>
              <w:left w:type="dxa" w:w="100"/>
              <w:bottom w:type="dxa" w:w="80"/>
              <w:right w:type="dxa" w:w="100"/>
            </w:tcMar>
          </w:tcPr>
          <w:p>
            <w:pPr>
              <w:jc w:val="right"/>
            </w:pPr>
            <w:r>
              <w:rPr>
                <w:b w:val="false"/>
                <w:bCs w:val="false"/>
                <w:color w:val="000000"/>
                <w:sz w:val="20"/>
                <w:szCs w:val="20"/>
              </w:rPr>
              <w:t xml:space="preserve">74.533</w:t>
            </w:r>
          </w:p>
        </w:tc>
        <w:tc>
          <w:tcPr>
            <w:tcW w:type="dxa" w:w="3800"/>
            <w:tcMar>
              <w:top w:type="dxa" w:w="80"/>
              <w:left w:type="dxa" w:w="100"/>
              <w:bottom w:type="dxa" w:w="80"/>
              <w:right w:type="dxa" w:w="100"/>
            </w:tcMar>
          </w:tcPr>
          <w:p>
            <w:pPr>
              <w:jc w:val="right"/>
            </w:pPr>
            <w:r>
              <w:rPr>
                <w:b w:val="false"/>
                <w:bCs w:val="false"/>
                <w:color w:val="000000"/>
                <w:sz w:val="20"/>
                <w:szCs w:val="20"/>
              </w:rPr>
              <w:t xml:space="preserve">5,62</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Federal</w:t>
            </w:r>
          </w:p>
        </w:tc>
        <w:tc>
          <w:tcPr>
            <w:tcW w:type="dxa" w:w="3000"/>
            <w:tcMar>
              <w:top w:type="dxa" w:w="80"/>
              <w:left w:type="dxa" w:w="100"/>
              <w:bottom w:type="dxa" w:w="80"/>
              <w:right w:type="dxa" w:w="100"/>
            </w:tcMar>
          </w:tcPr>
          <w:p>
            <w:pPr>
              <w:jc w:val="right"/>
            </w:pPr>
            <w:r>
              <w:rPr>
                <w:b w:val="false"/>
                <w:bCs w:val="false"/>
                <w:color w:val="000000"/>
                <w:sz w:val="20"/>
                <w:szCs w:val="20"/>
              </w:rPr>
              <w:t xml:space="preserve">659</w:t>
            </w:r>
          </w:p>
        </w:tc>
        <w:tc>
          <w:tcPr>
            <w:tcW w:type="dxa" w:w="3800"/>
            <w:tcMar>
              <w:top w:type="dxa" w:w="80"/>
              <w:left w:type="dxa" w:w="100"/>
              <w:bottom w:type="dxa" w:w="80"/>
              <w:right w:type="dxa" w:w="100"/>
            </w:tcMar>
          </w:tcPr>
          <w:p>
            <w:pPr>
              <w:jc w:val="right"/>
            </w:pPr>
            <w:r>
              <w:rPr>
                <w:b w:val="false"/>
                <w:bCs w:val="false"/>
                <w:color w:val="000000"/>
                <w:sz w:val="20"/>
                <w:szCs w:val="20"/>
              </w:rPr>
              <w:t xml:space="preserve">5,57</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Estadual</w:t>
            </w:r>
          </w:p>
        </w:tc>
        <w:tc>
          <w:tcPr>
            <w:tcW w:type="dxa" w:w="3000"/>
            <w:tcMar>
              <w:top w:type="dxa" w:w="80"/>
              <w:left w:type="dxa" w:w="100"/>
              <w:bottom w:type="dxa" w:w="80"/>
              <w:right w:type="dxa" w:w="100"/>
            </w:tcMar>
          </w:tcPr>
          <w:p>
            <w:pPr>
              <w:jc w:val="right"/>
            </w:pPr>
            <w:r>
              <w:rPr>
                <w:b w:val="false"/>
                <w:bCs w:val="false"/>
                <w:color w:val="000000"/>
                <w:sz w:val="20"/>
                <w:szCs w:val="20"/>
              </w:rPr>
              <w:t xml:space="preserve">52.203</w:t>
            </w:r>
          </w:p>
        </w:tc>
        <w:tc>
          <w:tcPr>
            <w:tcW w:type="dxa" w:w="3800"/>
            <w:tcMar>
              <w:top w:type="dxa" w:w="80"/>
              <w:left w:type="dxa" w:w="100"/>
              <w:bottom w:type="dxa" w:w="80"/>
              <w:right w:type="dxa" w:w="100"/>
            </w:tcMar>
          </w:tcPr>
          <w:p>
            <w:pPr>
              <w:jc w:val="right"/>
            </w:pPr>
            <w:r>
              <w:rPr>
                <w:b w:val="false"/>
                <w:bCs w:val="false"/>
                <w:color w:val="000000"/>
                <w:sz w:val="20"/>
                <w:szCs w:val="20"/>
              </w:rPr>
              <w:t xml:space="preserve">5,01</w:t>
            </w:r>
          </w:p>
        </w:tc>
      </w:tr>
    </w:tbl>
    <w:p>
      <w:pPr>
        <w:spacing w:after="160"/>
      </w:pPr>
    </w:p>
    <w:p>
      <w:pPr>
        <w:pStyle w:val="Heading2"/>
        <w:spacing w:after="120" w:before="240"/>
      </w:pPr>
      <w:r>
        <w:t xml:space="preserve">5.2 Localização urbana × rural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400"/>
      </w:tblGrid>
      <w:tr>
        <w:trPr>
          <w:tblHeader/>
        </w:trPr>
        <w:tc>
          <w:tcPr>
            <w:tcW w:type="dxa" w:w="1800"/>
            <w:shd w:fill="1F4E79" w:val="clear"/>
            <w:tcMar>
              <w:top w:type="dxa" w:w="80"/>
              <w:left w:type="dxa" w:w="100"/>
              <w:bottom w:type="dxa" w:w="80"/>
              <w:right w:type="dxa" w:w="100"/>
            </w:tcMar>
          </w:tcPr>
          <w:p>
            <w:pPr>
              <w:jc w:val="left"/>
            </w:pPr>
            <w:r>
              <w:rPr>
                <w:b/>
                <w:bCs/>
                <w:color w:val="FFFFFF"/>
                <w:sz w:val="20"/>
                <w:szCs w:val="20"/>
              </w:rPr>
              <w:t xml:space="preserve">Localização</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N (linhas)</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Ideb médio</w:t>
            </w:r>
          </w:p>
        </w:tc>
        <w:tc>
          <w:tcPr>
            <w:tcW w:type="dxa" w:w="1800"/>
            <w:shd w:fill="1F4E79" w:val="clear"/>
            <w:tcMar>
              <w:top w:type="dxa" w:w="80"/>
              <w:left w:type="dxa" w:w="100"/>
              <w:bottom w:type="dxa" w:w="80"/>
              <w:right w:type="dxa" w:w="100"/>
            </w:tcMar>
          </w:tcPr>
          <w:p>
            <w:pPr>
              <w:jc w:val="left"/>
            </w:pPr>
            <w:r>
              <w:rPr>
                <w:b/>
                <w:bCs/>
                <w:color w:val="FFFFFF"/>
                <w:sz w:val="20"/>
                <w:szCs w:val="20"/>
              </w:rPr>
              <w:t xml:space="preserve">% com internet</w:t>
            </w:r>
          </w:p>
        </w:tc>
        <w:tc>
          <w:tcPr>
            <w:tcW w:type="dxa" w:w="2400"/>
            <w:shd w:fill="1F4E79" w:val="clear"/>
            <w:tcMar>
              <w:top w:type="dxa" w:w="80"/>
              <w:left w:type="dxa" w:w="100"/>
              <w:bottom w:type="dxa" w:w="80"/>
              <w:right w:type="dxa" w:w="100"/>
            </w:tcMar>
          </w:tcPr>
          <w:p>
            <w:pPr>
              <w:jc w:val="left"/>
            </w:pPr>
            <w:r>
              <w:rPr>
                <w:b/>
                <w:bCs/>
                <w:color w:val="FFFFFF"/>
                <w:sz w:val="20"/>
                <w:szCs w:val="20"/>
              </w:rPr>
              <w:t xml:space="preserve">% com laboratório de informática</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Urbana</w:t>
            </w:r>
          </w:p>
        </w:tc>
        <w:tc>
          <w:tcPr>
            <w:tcW w:type="dxa" w:w="1800"/>
            <w:tcMar>
              <w:top w:type="dxa" w:w="80"/>
              <w:left w:type="dxa" w:w="100"/>
              <w:bottom w:type="dxa" w:w="80"/>
              <w:right w:type="dxa" w:w="100"/>
            </w:tcMar>
          </w:tcPr>
          <w:p>
            <w:pPr>
              <w:jc w:val="right"/>
            </w:pPr>
            <w:r>
              <w:rPr>
                <w:b w:val="false"/>
                <w:bCs w:val="false"/>
                <w:color w:val="000000"/>
                <w:sz w:val="20"/>
                <w:szCs w:val="20"/>
              </w:rPr>
              <w:t xml:space="preserve">94.004</w:t>
            </w:r>
          </w:p>
        </w:tc>
        <w:tc>
          <w:tcPr>
            <w:tcW w:type="dxa" w:w="1800"/>
            <w:tcMar>
              <w:top w:type="dxa" w:w="80"/>
              <w:left w:type="dxa" w:w="100"/>
              <w:bottom w:type="dxa" w:w="80"/>
              <w:right w:type="dxa" w:w="100"/>
            </w:tcMar>
          </w:tcPr>
          <w:p>
            <w:pPr>
              <w:jc w:val="right"/>
            </w:pPr>
            <w:r>
              <w:rPr>
                <w:b w:val="false"/>
                <w:bCs w:val="false"/>
                <w:color w:val="000000"/>
                <w:sz w:val="20"/>
                <w:szCs w:val="20"/>
              </w:rPr>
              <w:t xml:space="preserve">5,43</w:t>
            </w:r>
          </w:p>
        </w:tc>
        <w:tc>
          <w:tcPr>
            <w:tcW w:type="dxa" w:w="1800"/>
            <w:tcMar>
              <w:top w:type="dxa" w:w="80"/>
              <w:left w:type="dxa" w:w="100"/>
              <w:bottom w:type="dxa" w:w="80"/>
              <w:right w:type="dxa" w:w="100"/>
            </w:tcMar>
          </w:tcPr>
          <w:p>
            <w:pPr>
              <w:jc w:val="right"/>
            </w:pPr>
            <w:r>
              <w:rPr>
                <w:b w:val="false"/>
                <w:bCs w:val="false"/>
                <w:color w:val="000000"/>
                <w:sz w:val="20"/>
                <w:szCs w:val="20"/>
              </w:rPr>
              <w:t xml:space="preserve">99,4%</w:t>
            </w:r>
          </w:p>
        </w:tc>
        <w:tc>
          <w:tcPr>
            <w:tcW w:type="dxa" w:w="2400"/>
            <w:tcMar>
              <w:top w:type="dxa" w:w="80"/>
              <w:left w:type="dxa" w:w="100"/>
              <w:bottom w:type="dxa" w:w="80"/>
              <w:right w:type="dxa" w:w="100"/>
            </w:tcMar>
          </w:tcPr>
          <w:p>
            <w:pPr>
              <w:jc w:val="right"/>
            </w:pPr>
            <w:r>
              <w:rPr>
                <w:b w:val="false"/>
                <w:bCs w:val="false"/>
                <w:color w:val="000000"/>
                <w:sz w:val="20"/>
                <w:szCs w:val="20"/>
              </w:rPr>
              <w:t xml:space="preserve">58,5%</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Rural</w:t>
            </w:r>
          </w:p>
        </w:tc>
        <w:tc>
          <w:tcPr>
            <w:tcW w:type="dxa" w:w="1800"/>
            <w:tcMar>
              <w:top w:type="dxa" w:w="80"/>
              <w:left w:type="dxa" w:w="100"/>
              <w:bottom w:type="dxa" w:w="80"/>
              <w:right w:type="dxa" w:w="100"/>
            </w:tcMar>
          </w:tcPr>
          <w:p>
            <w:pPr>
              <w:jc w:val="right"/>
            </w:pPr>
            <w:r>
              <w:rPr>
                <w:b w:val="false"/>
                <w:bCs w:val="false"/>
                <w:color w:val="000000"/>
                <w:sz w:val="20"/>
                <w:szCs w:val="20"/>
              </w:rPr>
              <w:t xml:space="preserve">33.391</w:t>
            </w:r>
          </w:p>
        </w:tc>
        <w:tc>
          <w:tcPr>
            <w:tcW w:type="dxa" w:w="1800"/>
            <w:tcMar>
              <w:top w:type="dxa" w:w="80"/>
              <w:left w:type="dxa" w:w="100"/>
              <w:bottom w:type="dxa" w:w="80"/>
              <w:right w:type="dxa" w:w="100"/>
            </w:tcMar>
          </w:tcPr>
          <w:p>
            <w:pPr>
              <w:jc w:val="right"/>
            </w:pPr>
            <w:r>
              <w:rPr>
                <w:b w:val="false"/>
                <w:bCs w:val="false"/>
                <w:color w:val="000000"/>
                <w:sz w:val="20"/>
                <w:szCs w:val="20"/>
              </w:rPr>
              <w:t xml:space="preserve">5,16</w:t>
            </w:r>
          </w:p>
        </w:tc>
        <w:tc>
          <w:tcPr>
            <w:tcW w:type="dxa" w:w="1800"/>
            <w:tcMar>
              <w:top w:type="dxa" w:w="80"/>
              <w:left w:type="dxa" w:w="100"/>
              <w:bottom w:type="dxa" w:w="80"/>
              <w:right w:type="dxa" w:w="100"/>
            </w:tcMar>
          </w:tcPr>
          <w:p>
            <w:pPr>
              <w:jc w:val="right"/>
            </w:pPr>
            <w:r>
              <w:rPr>
                <w:b w:val="false"/>
                <w:bCs w:val="false"/>
                <w:color w:val="000000"/>
                <w:sz w:val="20"/>
                <w:szCs w:val="20"/>
              </w:rPr>
              <w:t xml:space="preserve">95,9%</w:t>
            </w:r>
          </w:p>
        </w:tc>
        <w:tc>
          <w:tcPr>
            <w:tcW w:type="dxa" w:w="2400"/>
            <w:tcMar>
              <w:top w:type="dxa" w:w="80"/>
              <w:left w:type="dxa" w:w="100"/>
              <w:bottom w:type="dxa" w:w="80"/>
              <w:right w:type="dxa" w:w="100"/>
            </w:tcMar>
          </w:tcPr>
          <w:p>
            <w:pPr>
              <w:jc w:val="right"/>
            </w:pPr>
            <w:r>
              <w:rPr>
                <w:b w:val="false"/>
                <w:bCs w:val="false"/>
                <w:color w:val="000000"/>
                <w:sz w:val="20"/>
                <w:szCs w:val="20"/>
              </w:rPr>
              <w:t xml:space="preserve">23,4%</w:t>
            </w:r>
          </w:p>
        </w:tc>
      </w:tr>
    </w:tbl>
    <w:p>
      <w:pPr>
        <w:spacing w:after="160"/>
      </w:pPr>
    </w:p>
    <w:p>
      <w:pPr>
        <w:spacing w:after="160"/>
      </w:pPr>
      <w:r>
        <w:t xml:space="preserve">A diferença de Ideb entre urbano e rural (5,43 vs. 5,16) é bem menor, em termos relativos, do que a diferença de infraestrutura tecnológica: escolas urbanas têm mais que o dobro da proporção de laboratórios de informática das rurais. Esse descolamento já sugere que infraestrutura tecnológica isolada não explica a maior parte da variação do Ideb — ponto retomado na Seção 7, e testado de forma mais direta na Seção 9 com o INSE.</w:t>
      </w:r>
    </w:p>
    <w:p>
      <w:pPr>
        <w:pStyle w:val="Heading1"/>
        <w:spacing w:after="160" w:before="320"/>
      </w:pPr>
      <w:r>
        <w:t xml:space="preserve">6. Ideb Médio por Região (Anos Iniciais)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100"/>
      </w:tblGrid>
      <w:tr>
        <w:trPr>
          <w:tblHeader/>
        </w:trPr>
        <w:tc>
          <w:tcPr>
            <w:tcW w:type="dxa" w:w="3000"/>
            <w:shd w:fill="1F4E79" w:val="clear"/>
            <w:tcMar>
              <w:top w:type="dxa" w:w="80"/>
              <w:left w:type="dxa" w:w="100"/>
              <w:bottom w:type="dxa" w:w="80"/>
              <w:right w:type="dxa" w:w="100"/>
            </w:tcMar>
          </w:tcPr>
          <w:p>
            <w:pPr>
              <w:jc w:val="left"/>
            </w:pPr>
            <w:r>
              <w:rPr>
                <w:b/>
                <w:bCs/>
                <w:color w:val="FFFFFF"/>
                <w:sz w:val="20"/>
                <w:szCs w:val="20"/>
              </w:rPr>
              <w:t xml:space="preserve">Região</w:t>
            </w:r>
          </w:p>
        </w:tc>
        <w:tc>
          <w:tcPr>
            <w:tcW w:type="dxa" w:w="2500"/>
            <w:shd w:fill="1F4E79" w:val="clear"/>
            <w:tcMar>
              <w:top w:type="dxa" w:w="80"/>
              <w:left w:type="dxa" w:w="100"/>
              <w:bottom w:type="dxa" w:w="80"/>
              <w:right w:type="dxa" w:w="100"/>
            </w:tcMar>
          </w:tcPr>
          <w:p>
            <w:pPr>
              <w:jc w:val="left"/>
            </w:pPr>
            <w:r>
              <w:rPr>
                <w:b/>
                <w:bCs/>
                <w:color w:val="FFFFFF"/>
                <w:sz w:val="20"/>
                <w:szCs w:val="20"/>
              </w:rPr>
              <w:t xml:space="preserve">Ideb médio</w:t>
            </w:r>
          </w:p>
        </w:tc>
        <w:tc>
          <w:tcPr>
            <w:tcW w:type="dxa" w:w="3100"/>
            <w:shd w:fill="1F4E79" w:val="clear"/>
            <w:tcMar>
              <w:top w:type="dxa" w:w="80"/>
              <w:left w:type="dxa" w:w="100"/>
              <w:bottom w:type="dxa" w:w="80"/>
              <w:right w:type="dxa" w:w="100"/>
            </w:tcMar>
          </w:tcPr>
          <w:p>
            <w:pPr>
              <w:jc w:val="left"/>
            </w:pPr>
            <w:r>
              <w:rPr>
                <w:b/>
                <w:bCs/>
                <w:color w:val="FFFFFF"/>
                <w:sz w:val="20"/>
                <w:szCs w:val="20"/>
              </w:rPr>
              <w:t xml:space="preserve">N (escolas)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Sul</w:t>
            </w:r>
          </w:p>
        </w:tc>
        <w:tc>
          <w:tcPr>
            <w:tcW w:type="dxa" w:w="2500"/>
            <w:tcMar>
              <w:top w:type="dxa" w:w="80"/>
              <w:left w:type="dxa" w:w="100"/>
              <w:bottom w:type="dxa" w:w="80"/>
              <w:right w:type="dxa" w:w="100"/>
            </w:tcMar>
          </w:tcPr>
          <w:p>
            <w:pPr>
              <w:jc w:val="right"/>
            </w:pPr>
            <w:r>
              <w:rPr>
                <w:b w:val="false"/>
                <w:bCs w:val="false"/>
                <w:color w:val="000000"/>
                <w:sz w:val="20"/>
                <w:szCs w:val="20"/>
              </w:rPr>
              <w:t xml:space="preserve">6,52</w:t>
            </w:r>
          </w:p>
        </w:tc>
        <w:tc>
          <w:tcPr>
            <w:tcW w:type="dxa" w:w="3100"/>
            <w:tcMar>
              <w:top w:type="dxa" w:w="80"/>
              <w:left w:type="dxa" w:w="100"/>
              <w:bottom w:type="dxa" w:w="80"/>
              <w:right w:type="dxa" w:w="100"/>
            </w:tcMar>
          </w:tcPr>
          <w:p>
            <w:pPr>
              <w:jc w:val="right"/>
            </w:pPr>
            <w:r>
              <w:rPr>
                <w:b w:val="false"/>
                <w:bCs w:val="false"/>
                <w:color w:val="000000"/>
                <w:sz w:val="20"/>
                <w:szCs w:val="20"/>
              </w:rPr>
              <w:t xml:space="preserve">7.514</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Sudeste</w:t>
            </w:r>
          </w:p>
        </w:tc>
        <w:tc>
          <w:tcPr>
            <w:tcW w:type="dxa" w:w="2500"/>
            <w:tcMar>
              <w:top w:type="dxa" w:w="80"/>
              <w:left w:type="dxa" w:w="100"/>
              <w:bottom w:type="dxa" w:w="80"/>
              <w:right w:type="dxa" w:w="100"/>
            </w:tcMar>
          </w:tcPr>
          <w:p>
            <w:pPr>
              <w:jc w:val="right"/>
            </w:pPr>
            <w:r>
              <w:rPr>
                <w:b w:val="false"/>
                <w:bCs w:val="false"/>
                <w:color w:val="000000"/>
                <w:sz w:val="20"/>
                <w:szCs w:val="20"/>
              </w:rPr>
              <w:t xml:space="preserve">6,32</w:t>
            </w:r>
          </w:p>
        </w:tc>
        <w:tc>
          <w:tcPr>
            <w:tcW w:type="dxa" w:w="3100"/>
            <w:tcMar>
              <w:top w:type="dxa" w:w="80"/>
              <w:left w:type="dxa" w:w="100"/>
              <w:bottom w:type="dxa" w:w="80"/>
              <w:right w:type="dxa" w:w="100"/>
            </w:tcMar>
          </w:tcPr>
          <w:p>
            <w:pPr>
              <w:jc w:val="right"/>
            </w:pPr>
            <w:r>
              <w:rPr>
                <w:b w:val="false"/>
                <w:bCs w:val="false"/>
                <w:color w:val="000000"/>
                <w:sz w:val="20"/>
                <w:szCs w:val="20"/>
              </w:rPr>
              <w:t xml:space="preserve">13.324</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Centro-Oeste</w:t>
            </w:r>
          </w:p>
        </w:tc>
        <w:tc>
          <w:tcPr>
            <w:tcW w:type="dxa" w:w="2500"/>
            <w:tcMar>
              <w:top w:type="dxa" w:w="80"/>
              <w:left w:type="dxa" w:w="100"/>
              <w:bottom w:type="dxa" w:w="80"/>
              <w:right w:type="dxa" w:w="100"/>
            </w:tcMar>
          </w:tcPr>
          <w:p>
            <w:pPr>
              <w:jc w:val="right"/>
            </w:pPr>
            <w:r>
              <w:rPr>
                <w:b w:val="false"/>
                <w:bCs w:val="false"/>
                <w:color w:val="000000"/>
                <w:sz w:val="20"/>
                <w:szCs w:val="20"/>
              </w:rPr>
              <w:t xml:space="preserve">6,14</w:t>
            </w:r>
          </w:p>
        </w:tc>
        <w:tc>
          <w:tcPr>
            <w:tcW w:type="dxa" w:w="3100"/>
            <w:tcMar>
              <w:top w:type="dxa" w:w="80"/>
              <w:left w:type="dxa" w:w="100"/>
              <w:bottom w:type="dxa" w:w="80"/>
              <w:right w:type="dxa" w:w="100"/>
            </w:tcMar>
          </w:tcPr>
          <w:p>
            <w:pPr>
              <w:jc w:val="right"/>
            </w:pPr>
            <w:r>
              <w:rPr>
                <w:b w:val="false"/>
                <w:bCs w:val="false"/>
                <w:color w:val="000000"/>
                <w:sz w:val="20"/>
                <w:szCs w:val="20"/>
              </w:rPr>
              <w:t xml:space="preserve">2.748</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Nordeste</w:t>
            </w:r>
          </w:p>
        </w:tc>
        <w:tc>
          <w:tcPr>
            <w:tcW w:type="dxa" w:w="2500"/>
            <w:tcMar>
              <w:top w:type="dxa" w:w="80"/>
              <w:left w:type="dxa" w:w="100"/>
              <w:bottom w:type="dxa" w:w="80"/>
              <w:right w:type="dxa" w:w="100"/>
            </w:tcMar>
          </w:tcPr>
          <w:p>
            <w:pPr>
              <w:jc w:val="right"/>
            </w:pPr>
            <w:r>
              <w:rPr>
                <w:b w:val="false"/>
                <w:bCs w:val="false"/>
                <w:color w:val="000000"/>
                <w:sz w:val="20"/>
                <w:szCs w:val="20"/>
              </w:rPr>
              <w:t xml:space="preserve">5,76</w:t>
            </w:r>
          </w:p>
        </w:tc>
        <w:tc>
          <w:tcPr>
            <w:tcW w:type="dxa" w:w="3100"/>
            <w:tcMar>
              <w:top w:type="dxa" w:w="80"/>
              <w:left w:type="dxa" w:w="100"/>
              <w:bottom w:type="dxa" w:w="80"/>
              <w:right w:type="dxa" w:w="100"/>
            </w:tcMar>
          </w:tcPr>
          <w:p>
            <w:pPr>
              <w:jc w:val="right"/>
            </w:pPr>
            <w:r>
              <w:rPr>
                <w:b w:val="false"/>
                <w:bCs w:val="false"/>
                <w:color w:val="000000"/>
                <w:sz w:val="20"/>
                <w:szCs w:val="20"/>
              </w:rPr>
              <w:t xml:space="preserve">14.212</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Norte</w:t>
            </w:r>
          </w:p>
        </w:tc>
        <w:tc>
          <w:tcPr>
            <w:tcW w:type="dxa" w:w="2500"/>
            <w:tcMar>
              <w:top w:type="dxa" w:w="80"/>
              <w:left w:type="dxa" w:w="100"/>
              <w:bottom w:type="dxa" w:w="80"/>
              <w:right w:type="dxa" w:w="100"/>
            </w:tcMar>
          </w:tcPr>
          <w:p>
            <w:pPr>
              <w:jc w:val="right"/>
            </w:pPr>
            <w:r>
              <w:rPr>
                <w:b w:val="false"/>
                <w:bCs w:val="false"/>
                <w:color w:val="000000"/>
                <w:sz w:val="20"/>
                <w:szCs w:val="20"/>
              </w:rPr>
              <w:t xml:space="preserve">5,38</w:t>
            </w:r>
          </w:p>
        </w:tc>
        <w:tc>
          <w:tcPr>
            <w:tcW w:type="dxa" w:w="3100"/>
            <w:tcMar>
              <w:top w:type="dxa" w:w="80"/>
              <w:left w:type="dxa" w:w="100"/>
              <w:bottom w:type="dxa" w:w="80"/>
              <w:right w:type="dxa" w:w="100"/>
            </w:tcMar>
          </w:tcPr>
          <w:p>
            <w:pPr>
              <w:jc w:val="right"/>
            </w:pPr>
            <w:r>
              <w:rPr>
                <w:b w:val="false"/>
                <w:bCs w:val="false"/>
                <w:color w:val="000000"/>
                <w:sz w:val="20"/>
                <w:szCs w:val="20"/>
              </w:rPr>
              <w:t xml:space="preserve">4.656</w:t>
            </w:r>
          </w:p>
        </w:tc>
      </w:tr>
    </w:tbl>
    <w:p>
      <w:pPr>
        <w:spacing w:after="160"/>
      </w:pPr>
    </w:p>
    <w:p>
      <w:pPr>
        <w:spacing w:after="160"/>
      </w:pPr>
      <w:r>
        <w:t xml:space="preserve">A desigualdade regional apontada na proposta se confirma nos dados: a diferença entre Sul e Norte é superior a 1 ponto inteiro no Ideb dos anos iniciais. No recorte por estado (mesma etapa), Ceará (7,02) e Paraná (6,91) lideram o ranking, enquanto Roraima (4,96), Amapá (5,13) e Rio Grande do Norte (5,19) ficam nas últimas posições — reforçando que a variação intrarregional também é relevante e não deve ser ocultada por médias de região.</w:t>
      </w:r>
    </w:p>
    <w:p>
      <w:pPr>
        <w:pStyle w:val="Heading1"/>
        <w:spacing w:after="160" w:before="320"/>
      </w:pPr>
      <w:r>
        <w:t xml:space="preserve">7. Infraestrutura Tecnológica: Prevalência e Relação com o Ideb</w:t>
      </w:r>
    </w:p>
    <w:p>
      <w:pPr>
        <w:pStyle w:val="Heading2"/>
        <w:spacing w:after="120" w:before="240"/>
      </w:pPr>
      <w:r>
        <w:t xml:space="preserve">7.1 Prevalência dos recursos (entre escolas com Ideb)</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0"/>
        <w:gridCol w:w="3800"/>
      </w:tblGrid>
      <w:tr>
        <w:trPr>
          <w:tblHeader/>
        </w:trPr>
        <w:tc>
          <w:tcPr>
            <w:tcW w:type="dxa" w:w="6000"/>
            <w:shd w:fill="1F4E79" w:val="clear"/>
            <w:tcMar>
              <w:top w:type="dxa" w:w="80"/>
              <w:left w:type="dxa" w:w="100"/>
              <w:bottom w:type="dxa" w:w="80"/>
              <w:right w:type="dxa" w:w="100"/>
            </w:tcMar>
          </w:tcPr>
          <w:p>
            <w:pPr>
              <w:jc w:val="left"/>
            </w:pPr>
            <w:r>
              <w:rPr>
                <w:b/>
                <w:bCs/>
                <w:color w:val="FFFFFF"/>
                <w:sz w:val="20"/>
                <w:szCs w:val="20"/>
              </w:rPr>
              <w:t xml:space="preserve">Recurso</w:t>
            </w:r>
          </w:p>
        </w:tc>
        <w:tc>
          <w:tcPr>
            <w:tcW w:type="dxa" w:w="3800"/>
            <w:shd w:fill="1F4E79" w:val="clear"/>
            <w:tcMar>
              <w:top w:type="dxa" w:w="80"/>
              <w:left w:type="dxa" w:w="100"/>
              <w:bottom w:type="dxa" w:w="80"/>
              <w:right w:type="dxa" w:w="100"/>
            </w:tcMar>
          </w:tcPr>
          <w:p>
            <w:pPr>
              <w:jc w:val="left"/>
            </w:pPr>
            <w:r>
              <w:rPr>
                <w:b/>
                <w:bCs/>
                <w:color w:val="FFFFFF"/>
                <w:sz w:val="20"/>
                <w:szCs w:val="20"/>
              </w:rPr>
              <w:t xml:space="preserve">% de escolas com o recurso</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Internet</w:t>
            </w:r>
          </w:p>
        </w:tc>
        <w:tc>
          <w:tcPr>
            <w:tcW w:type="dxa" w:w="3800"/>
            <w:tcMar>
              <w:top w:type="dxa" w:w="80"/>
              <w:left w:type="dxa" w:w="100"/>
              <w:bottom w:type="dxa" w:w="80"/>
              <w:right w:type="dxa" w:w="100"/>
            </w:tcMar>
          </w:tcPr>
          <w:p>
            <w:pPr>
              <w:jc w:val="right"/>
            </w:pPr>
            <w:r>
              <w:rPr>
                <w:b w:val="false"/>
                <w:bCs w:val="false"/>
                <w:color w:val="000000"/>
                <w:sz w:val="20"/>
                <w:szCs w:val="20"/>
              </w:rPr>
              <w:t xml:space="preserve">98,5%</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Computadores (algum)</w:t>
            </w:r>
          </w:p>
        </w:tc>
        <w:tc>
          <w:tcPr>
            <w:tcW w:type="dxa" w:w="3800"/>
            <w:tcMar>
              <w:top w:type="dxa" w:w="80"/>
              <w:left w:type="dxa" w:w="100"/>
              <w:bottom w:type="dxa" w:w="80"/>
              <w:right w:type="dxa" w:w="100"/>
            </w:tcMar>
          </w:tcPr>
          <w:p>
            <w:pPr>
              <w:jc w:val="right"/>
            </w:pPr>
            <w:r>
              <w:rPr>
                <w:b w:val="false"/>
                <w:bCs w:val="false"/>
                <w:color w:val="000000"/>
                <w:sz w:val="20"/>
                <w:szCs w:val="20"/>
              </w:rPr>
              <w:t xml:space="preserve">93,0%</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Banda larga</w:t>
            </w:r>
          </w:p>
        </w:tc>
        <w:tc>
          <w:tcPr>
            <w:tcW w:type="dxa" w:w="3800"/>
            <w:tcMar>
              <w:top w:type="dxa" w:w="80"/>
              <w:left w:type="dxa" w:w="100"/>
              <w:bottom w:type="dxa" w:w="80"/>
              <w:right w:type="dxa" w:w="100"/>
            </w:tcMar>
          </w:tcPr>
          <w:p>
            <w:pPr>
              <w:jc w:val="right"/>
            </w:pPr>
            <w:r>
              <w:rPr>
                <w:b w:val="false"/>
                <w:bCs w:val="false"/>
                <w:color w:val="000000"/>
                <w:sz w:val="20"/>
                <w:szCs w:val="20"/>
              </w:rPr>
              <w:t xml:space="preserve">88,0%</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Laboratório de informática</w:t>
            </w:r>
          </w:p>
        </w:tc>
        <w:tc>
          <w:tcPr>
            <w:tcW w:type="dxa" w:w="3800"/>
            <w:tcMar>
              <w:top w:type="dxa" w:w="80"/>
              <w:left w:type="dxa" w:w="100"/>
              <w:bottom w:type="dxa" w:w="80"/>
              <w:right w:type="dxa" w:w="100"/>
            </w:tcMar>
          </w:tcPr>
          <w:p>
            <w:pPr>
              <w:jc w:val="right"/>
            </w:pPr>
            <w:r>
              <w:rPr>
                <w:b w:val="false"/>
                <w:bCs w:val="false"/>
                <w:color w:val="000000"/>
                <w:sz w:val="20"/>
                <w:szCs w:val="20"/>
              </w:rPr>
              <w:t xml:space="preserve">49,3%</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Laboratório de ciências</w:t>
            </w:r>
          </w:p>
        </w:tc>
        <w:tc>
          <w:tcPr>
            <w:tcW w:type="dxa" w:w="3800"/>
            <w:tcMar>
              <w:top w:type="dxa" w:w="80"/>
              <w:left w:type="dxa" w:w="100"/>
              <w:bottom w:type="dxa" w:w="80"/>
              <w:right w:type="dxa" w:w="100"/>
            </w:tcMar>
          </w:tcPr>
          <w:p>
            <w:pPr>
              <w:jc w:val="right"/>
            </w:pPr>
            <w:r>
              <w:rPr>
                <w:b w:val="false"/>
                <w:bCs w:val="false"/>
                <w:color w:val="000000"/>
                <w:sz w:val="20"/>
                <w:szCs w:val="20"/>
              </w:rPr>
              <w:t xml:space="preserve">24,0%</w:t>
            </w:r>
          </w:p>
        </w:tc>
      </w:tr>
    </w:tbl>
    <w:p>
      <w:pPr>
        <w:spacing w:after="160"/>
      </w:pPr>
    </w:p>
    <w:p>
      <w:pPr>
        <w:pStyle w:val="Heading2"/>
        <w:spacing w:after="120" w:before="240"/>
      </w:pPr>
      <w:r>
        <w:t xml:space="preserve">7.2 Correlação entre infraestrutura e Ideb</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3100"/>
      </w:tblGrid>
      <w:tr>
        <w:trPr>
          <w:tblHeader/>
        </w:trPr>
        <w:tc>
          <w:tcPr>
            <w:tcW w:type="dxa" w:w="4200"/>
            <w:shd w:fill="1F4E79" w:val="clear"/>
            <w:tcMar>
              <w:top w:type="dxa" w:w="80"/>
              <w:left w:type="dxa" w:w="100"/>
              <w:bottom w:type="dxa" w:w="80"/>
              <w:right w:type="dxa" w:w="100"/>
            </w:tcMar>
          </w:tcPr>
          <w:p>
            <w:pPr>
              <w:jc w:val="left"/>
            </w:pPr>
            <w:r>
              <w:rPr>
                <w:b/>
                <w:bCs/>
                <w:color w:val="FFFFFF"/>
                <w:sz w:val="20"/>
                <w:szCs w:val="20"/>
              </w:rPr>
              <w:t xml:space="preserve">Par de variáveis</w:t>
            </w:r>
          </w:p>
        </w:tc>
        <w:tc>
          <w:tcPr>
            <w:tcW w:type="dxa" w:w="2500"/>
            <w:shd w:fill="1F4E79" w:val="clear"/>
            <w:tcMar>
              <w:top w:type="dxa" w:w="80"/>
              <w:left w:type="dxa" w:w="100"/>
              <w:bottom w:type="dxa" w:w="80"/>
              <w:right w:type="dxa" w:w="100"/>
            </w:tcMar>
          </w:tcPr>
          <w:p>
            <w:pPr>
              <w:jc w:val="left"/>
            </w:pPr>
            <w:r>
              <w:rPr>
                <w:b/>
                <w:bCs/>
                <w:color w:val="FFFFFF"/>
                <w:sz w:val="20"/>
                <w:szCs w:val="20"/>
              </w:rPr>
              <w:t xml:space="preserve">Coeficiente</w:t>
            </w:r>
          </w:p>
        </w:tc>
        <w:tc>
          <w:tcPr>
            <w:tcW w:type="dxa" w:w="3100"/>
            <w:shd w:fill="1F4E79" w:val="clear"/>
            <w:tcMar>
              <w:top w:type="dxa" w:w="80"/>
              <w:left w:type="dxa" w:w="100"/>
              <w:bottom w:type="dxa" w:w="80"/>
              <w:right w:type="dxa" w:w="100"/>
            </w:tcMar>
          </w:tcPr>
          <w:p>
            <w:pPr>
              <w:jc w:val="left"/>
            </w:pPr>
            <w:r>
              <w:rPr>
                <w:b/>
                <w:bCs/>
                <w:color w:val="FFFFFF"/>
                <w:sz w:val="20"/>
                <w:szCs w:val="20"/>
              </w:rPr>
              <w:t xml:space="preserve">Método</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Ideb × computadores por aluno</w:t>
            </w:r>
          </w:p>
        </w:tc>
        <w:tc>
          <w:tcPr>
            <w:tcW w:type="dxa" w:w="2500"/>
            <w:tcMar>
              <w:top w:type="dxa" w:w="80"/>
              <w:left w:type="dxa" w:w="100"/>
              <w:bottom w:type="dxa" w:w="80"/>
              <w:right w:type="dxa" w:w="100"/>
            </w:tcMar>
          </w:tcPr>
          <w:p>
            <w:pPr>
              <w:jc w:val="right"/>
            </w:pPr>
            <w:r>
              <w:rPr>
                <w:b w:val="false"/>
                <w:bCs w:val="false"/>
                <w:color w:val="000000"/>
                <w:sz w:val="20"/>
                <w:szCs w:val="20"/>
              </w:rPr>
              <w:t xml:space="preserve">0,005</w:t>
            </w:r>
          </w:p>
        </w:tc>
        <w:tc>
          <w:tcPr>
            <w:tcW w:type="dxa" w:w="3100"/>
            <w:tcMar>
              <w:top w:type="dxa" w:w="80"/>
              <w:left w:type="dxa" w:w="100"/>
              <w:bottom w:type="dxa" w:w="80"/>
              <w:right w:type="dxa" w:w="100"/>
            </w:tcMar>
          </w:tcPr>
          <w:p>
            <w:pPr>
              <w:jc w:val="right"/>
            </w:pPr>
            <w:r>
              <w:rPr>
                <w:b w:val="false"/>
                <w:bCs w:val="false"/>
                <w:color w:val="000000"/>
                <w:sz w:val="20"/>
                <w:szCs w:val="20"/>
              </w:rPr>
              <w:t xml:space="preserve">Pearson (base completa)</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Ideb × computadores por aluno</w:t>
            </w:r>
          </w:p>
        </w:tc>
        <w:tc>
          <w:tcPr>
            <w:tcW w:type="dxa" w:w="2500"/>
            <w:tcMar>
              <w:top w:type="dxa" w:w="80"/>
              <w:left w:type="dxa" w:w="100"/>
              <w:bottom w:type="dxa" w:w="80"/>
              <w:right w:type="dxa" w:w="100"/>
            </w:tcMar>
          </w:tcPr>
          <w:p>
            <w:pPr>
              <w:jc w:val="right"/>
            </w:pPr>
            <w:r>
              <w:rPr>
                <w:b w:val="false"/>
                <w:bCs w:val="false"/>
                <w:color w:val="000000"/>
                <w:sz w:val="20"/>
                <w:szCs w:val="20"/>
              </w:rPr>
              <w:t xml:space="preserve">0,056</w:t>
            </w:r>
          </w:p>
        </w:tc>
        <w:tc>
          <w:tcPr>
            <w:tcW w:type="dxa" w:w="3100"/>
            <w:tcMar>
              <w:top w:type="dxa" w:w="80"/>
              <w:left w:type="dxa" w:w="100"/>
              <w:bottom w:type="dxa" w:w="80"/>
              <w:right w:type="dxa" w:w="100"/>
            </w:tcMar>
          </w:tcPr>
          <w:p>
            <w:pPr>
              <w:jc w:val="right"/>
            </w:pPr>
            <w:r>
              <w:rPr>
                <w:b w:val="false"/>
                <w:bCs w:val="false"/>
                <w:color w:val="000000"/>
                <w:sz w:val="20"/>
                <w:szCs w:val="20"/>
              </w:rPr>
              <w:t xml:space="preserve">Pearson, excluindo o 1% mais extremo</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Ideb × computadores por aluno</w:t>
            </w:r>
          </w:p>
        </w:tc>
        <w:tc>
          <w:tcPr>
            <w:tcW w:type="dxa" w:w="2500"/>
            <w:tcMar>
              <w:top w:type="dxa" w:w="80"/>
              <w:left w:type="dxa" w:w="100"/>
              <w:bottom w:type="dxa" w:w="80"/>
              <w:right w:type="dxa" w:w="100"/>
            </w:tcMar>
          </w:tcPr>
          <w:p>
            <w:pPr>
              <w:jc w:val="right"/>
            </w:pPr>
            <w:r>
              <w:rPr>
                <w:b w:val="false"/>
                <w:bCs w:val="false"/>
                <w:color w:val="000000"/>
                <w:sz w:val="20"/>
                <w:szCs w:val="20"/>
              </w:rPr>
              <w:t xml:space="preserve">0,052</w:t>
            </w:r>
          </w:p>
        </w:tc>
        <w:tc>
          <w:tcPr>
            <w:tcW w:type="dxa" w:w="3100"/>
            <w:tcMar>
              <w:top w:type="dxa" w:w="80"/>
              <w:left w:type="dxa" w:w="100"/>
              <w:bottom w:type="dxa" w:w="80"/>
              <w:right w:type="dxa" w:w="100"/>
            </w:tcMar>
          </w:tcPr>
          <w:p>
            <w:pPr>
              <w:jc w:val="right"/>
            </w:pPr>
            <w:r>
              <w:rPr>
                <w:b w:val="false"/>
                <w:bCs w:val="false"/>
                <w:color w:val="000000"/>
                <w:sz w:val="20"/>
                <w:szCs w:val="20"/>
              </w:rPr>
              <w:t xml:space="preserve">Spearman (base completa)</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Ideb × acesso à internet</w:t>
            </w:r>
          </w:p>
        </w:tc>
        <w:tc>
          <w:tcPr>
            <w:tcW w:type="dxa" w:w="2500"/>
            <w:tcMar>
              <w:top w:type="dxa" w:w="80"/>
              <w:left w:type="dxa" w:w="100"/>
              <w:bottom w:type="dxa" w:w="80"/>
              <w:right w:type="dxa" w:w="100"/>
            </w:tcMar>
          </w:tcPr>
          <w:p>
            <w:pPr>
              <w:jc w:val="right"/>
            </w:pPr>
            <w:r>
              <w:rPr>
                <w:b w:val="false"/>
                <w:bCs w:val="false"/>
                <w:color w:val="000000"/>
                <w:sz w:val="20"/>
                <w:szCs w:val="20"/>
              </w:rPr>
              <w:t xml:space="preserve">0,103</w:t>
            </w:r>
          </w:p>
        </w:tc>
        <w:tc>
          <w:tcPr>
            <w:tcW w:type="dxa" w:w="3100"/>
            <w:tcMar>
              <w:top w:type="dxa" w:w="80"/>
              <w:left w:type="dxa" w:w="100"/>
              <w:bottom w:type="dxa" w:w="80"/>
              <w:right w:type="dxa" w:w="100"/>
            </w:tcMar>
          </w:tcPr>
          <w:p>
            <w:pPr>
              <w:jc w:val="right"/>
            </w:pPr>
            <w:r>
              <w:rPr>
                <w:b w:val="false"/>
                <w:bCs w:val="false"/>
                <w:color w:val="000000"/>
                <w:sz w:val="20"/>
                <w:szCs w:val="20"/>
              </w:rPr>
              <w:t xml:space="preserve">Pearson</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Ideb × laboratório de informática</w:t>
            </w:r>
          </w:p>
        </w:tc>
        <w:tc>
          <w:tcPr>
            <w:tcW w:type="dxa" w:w="2500"/>
            <w:tcMar>
              <w:top w:type="dxa" w:w="80"/>
              <w:left w:type="dxa" w:w="100"/>
              <w:bottom w:type="dxa" w:w="80"/>
              <w:right w:type="dxa" w:w="100"/>
            </w:tcMar>
          </w:tcPr>
          <w:p>
            <w:pPr>
              <w:jc w:val="right"/>
            </w:pPr>
            <w:r>
              <w:rPr>
                <w:b w:val="false"/>
                <w:bCs w:val="false"/>
                <w:color w:val="000000"/>
                <w:sz w:val="20"/>
                <w:szCs w:val="20"/>
              </w:rPr>
              <w:t xml:space="preserve">0,013</w:t>
            </w:r>
          </w:p>
        </w:tc>
        <w:tc>
          <w:tcPr>
            <w:tcW w:type="dxa" w:w="3100"/>
            <w:tcMar>
              <w:top w:type="dxa" w:w="80"/>
              <w:left w:type="dxa" w:w="100"/>
              <w:bottom w:type="dxa" w:w="80"/>
              <w:right w:type="dxa" w:w="100"/>
            </w:tcMar>
          </w:tcPr>
          <w:p>
            <w:pPr>
              <w:jc w:val="right"/>
            </w:pPr>
            <w:r>
              <w:rPr>
                <w:b w:val="false"/>
                <w:bCs w:val="false"/>
                <w:color w:val="000000"/>
                <w:sz w:val="20"/>
                <w:szCs w:val="20"/>
              </w:rPr>
              <w:t xml:space="preserve">Pearson</w:t>
            </w:r>
          </w:p>
        </w:tc>
      </w:tr>
    </w:tbl>
    <w:p>
      <w:pPr>
        <w:spacing w:after="160"/>
      </w:pPr>
    </w:p>
    <w:p>
      <w:pPr>
        <w:spacing w:after="160"/>
      </w:pPr>
      <w:r>
        <w:t xml:space="preserve">As correlações lineares simples são muito baixas — a maior delas, com acesso à internet, explica menos de 2% da variância do Ideb isoladamente (r ≈ 0,10). Isso é coerente com o que a proposta já antecipava na Seção 4.1: o efeito de confundimento com nível socioeconômico e contexto regional provavelmente absorve boa parte da associação bruta entre tecnologia e desempenho, reforçando a necessidade de comparações dentro do mesmo contexto (mesma rede, mesma região, etapa equivalente) em vez de correlações globais — exatamente o papel que os filtros cruzados do dashboard devem cumprir.</w:t>
      </w:r>
    </w:p>
    <w:p>
      <w:pPr>
        <w:pStyle w:val="Heading1"/>
        <w:spacing w:after="160" w:before="320"/>
      </w:pPr>
      <w:r>
        <w:t xml:space="preserve">8. Infraestrutura Básica e Física (Não Tecnológica)</w:t>
      </w:r>
    </w:p>
    <w:p>
      <w:pPr>
        <w:pStyle w:val="Heading2"/>
        <w:spacing w:after="120" w:before="240"/>
      </w:pPr>
      <w:r>
        <w:t xml:space="preserve">8.1 Prevalência dos recursos (entre escolas com Ideb)</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800"/>
        <w:gridCol w:w="3000"/>
      </w:tblGrid>
      <w:tr>
        <w:trPr>
          <w:tblHeader/>
        </w:trPr>
        <w:tc>
          <w:tcPr>
            <w:tcW w:type="dxa" w:w="6800"/>
            <w:shd w:fill="1F4E79" w:val="clear"/>
            <w:tcMar>
              <w:top w:type="dxa" w:w="80"/>
              <w:left w:type="dxa" w:w="100"/>
              <w:bottom w:type="dxa" w:w="80"/>
              <w:right w:type="dxa" w:w="100"/>
            </w:tcMar>
          </w:tcPr>
          <w:p>
            <w:pPr>
              <w:jc w:val="left"/>
            </w:pPr>
            <w:r>
              <w:rPr>
                <w:b/>
                <w:bCs/>
                <w:color w:val="FFFFFF"/>
                <w:sz w:val="20"/>
                <w:szCs w:val="20"/>
              </w:rPr>
              <w:t xml:space="preserve">Recurso</w:t>
            </w:r>
          </w:p>
        </w:tc>
        <w:tc>
          <w:tcPr>
            <w:tcW w:type="dxa" w:w="3000"/>
            <w:shd w:fill="1F4E79" w:val="clear"/>
            <w:tcMar>
              <w:top w:type="dxa" w:w="80"/>
              <w:left w:type="dxa" w:w="100"/>
              <w:bottom w:type="dxa" w:w="80"/>
              <w:right w:type="dxa" w:w="100"/>
            </w:tcMar>
          </w:tcPr>
          <w:p>
            <w:pPr>
              <w:jc w:val="left"/>
            </w:pPr>
            <w:r>
              <w:rPr>
                <w:b/>
                <w:bCs/>
                <w:color w:val="FFFFFF"/>
                <w:sz w:val="20"/>
                <w:szCs w:val="20"/>
              </w:rPr>
              <w:t xml:space="preserve">% de escolas com o recurso</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Alimentação escolar</w:t>
            </w:r>
          </w:p>
        </w:tc>
        <w:tc>
          <w:tcPr>
            <w:tcW w:type="dxa" w:w="3000"/>
            <w:tcMar>
              <w:top w:type="dxa" w:w="80"/>
              <w:left w:type="dxa" w:w="100"/>
              <w:bottom w:type="dxa" w:w="80"/>
              <w:right w:type="dxa" w:w="100"/>
            </w:tcMar>
          </w:tcPr>
          <w:p>
            <w:pPr>
              <w:jc w:val="right"/>
            </w:pPr>
            <w:r>
              <w:rPr>
                <w:b w:val="false"/>
                <w:bCs w:val="false"/>
                <w:color w:val="000000"/>
                <w:sz w:val="20"/>
                <w:szCs w:val="20"/>
              </w:rPr>
              <w:t xml:space="preserve">99,8%</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Energia elétrica (rede pública)</w:t>
            </w:r>
          </w:p>
        </w:tc>
        <w:tc>
          <w:tcPr>
            <w:tcW w:type="dxa" w:w="3000"/>
            <w:tcMar>
              <w:top w:type="dxa" w:w="80"/>
              <w:left w:type="dxa" w:w="100"/>
              <w:bottom w:type="dxa" w:w="80"/>
              <w:right w:type="dxa" w:w="100"/>
            </w:tcMar>
          </w:tcPr>
          <w:p>
            <w:pPr>
              <w:jc w:val="right"/>
            </w:pPr>
            <w:r>
              <w:rPr>
                <w:b w:val="false"/>
                <w:bCs w:val="false"/>
                <w:color w:val="000000"/>
                <w:sz w:val="20"/>
                <w:szCs w:val="20"/>
              </w:rPr>
              <w:t xml:space="preserve">99,0%</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Cozinha</w:t>
            </w:r>
          </w:p>
        </w:tc>
        <w:tc>
          <w:tcPr>
            <w:tcW w:type="dxa" w:w="3000"/>
            <w:tcMar>
              <w:top w:type="dxa" w:w="80"/>
              <w:left w:type="dxa" w:w="100"/>
              <w:bottom w:type="dxa" w:w="80"/>
              <w:right w:type="dxa" w:w="100"/>
            </w:tcMar>
          </w:tcPr>
          <w:p>
            <w:pPr>
              <w:jc w:val="right"/>
            </w:pPr>
            <w:r>
              <w:rPr>
                <w:b w:val="false"/>
                <w:bCs w:val="false"/>
                <w:color w:val="000000"/>
                <w:sz w:val="20"/>
                <w:szCs w:val="20"/>
              </w:rPr>
              <w:t xml:space="preserve">98,8%</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Água potável</w:t>
            </w:r>
          </w:p>
        </w:tc>
        <w:tc>
          <w:tcPr>
            <w:tcW w:type="dxa" w:w="3000"/>
            <w:tcMar>
              <w:top w:type="dxa" w:w="80"/>
              <w:left w:type="dxa" w:w="100"/>
              <w:bottom w:type="dxa" w:w="80"/>
              <w:right w:type="dxa" w:w="100"/>
            </w:tcMar>
          </w:tcPr>
          <w:p>
            <w:pPr>
              <w:jc w:val="right"/>
            </w:pPr>
            <w:r>
              <w:rPr>
                <w:b w:val="false"/>
                <w:bCs w:val="false"/>
                <w:color w:val="000000"/>
                <w:sz w:val="20"/>
                <w:szCs w:val="20"/>
              </w:rPr>
              <w:t xml:space="preserve">98,1%</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Algum recurso de acessibilidade</w:t>
            </w:r>
          </w:p>
        </w:tc>
        <w:tc>
          <w:tcPr>
            <w:tcW w:type="dxa" w:w="3000"/>
            <w:tcMar>
              <w:top w:type="dxa" w:w="80"/>
              <w:left w:type="dxa" w:w="100"/>
              <w:bottom w:type="dxa" w:w="80"/>
              <w:right w:type="dxa" w:w="100"/>
            </w:tcMar>
          </w:tcPr>
          <w:p>
            <w:pPr>
              <w:jc w:val="right"/>
            </w:pPr>
            <w:r>
              <w:rPr>
                <w:b w:val="false"/>
                <w:bCs w:val="false"/>
                <w:color w:val="000000"/>
                <w:sz w:val="20"/>
                <w:szCs w:val="20"/>
              </w:rPr>
              <w:t xml:space="preserve">80,8%</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Sala de leitura (biblioteca ou não)</w:t>
            </w:r>
          </w:p>
        </w:tc>
        <w:tc>
          <w:tcPr>
            <w:tcW w:type="dxa" w:w="3000"/>
            <w:tcMar>
              <w:top w:type="dxa" w:w="80"/>
              <w:left w:type="dxa" w:w="100"/>
              <w:bottom w:type="dxa" w:w="80"/>
              <w:right w:type="dxa" w:w="100"/>
            </w:tcMar>
          </w:tcPr>
          <w:p>
            <w:pPr>
              <w:jc w:val="right"/>
            </w:pPr>
            <w:r>
              <w:rPr>
                <w:b w:val="false"/>
                <w:bCs w:val="false"/>
                <w:color w:val="000000"/>
                <w:sz w:val="20"/>
                <w:szCs w:val="20"/>
              </w:rPr>
              <w:t xml:space="preserve">76,1%</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Banheiro adaptado (PNE)</w:t>
            </w:r>
          </w:p>
        </w:tc>
        <w:tc>
          <w:tcPr>
            <w:tcW w:type="dxa" w:w="3000"/>
            <w:tcMar>
              <w:top w:type="dxa" w:w="80"/>
              <w:left w:type="dxa" w:w="100"/>
              <w:bottom w:type="dxa" w:w="80"/>
              <w:right w:type="dxa" w:w="100"/>
            </w:tcMar>
          </w:tcPr>
          <w:p>
            <w:pPr>
              <w:jc w:val="right"/>
            </w:pPr>
            <w:r>
              <w:rPr>
                <w:b w:val="false"/>
                <w:bCs w:val="false"/>
                <w:color w:val="000000"/>
                <w:sz w:val="20"/>
                <w:szCs w:val="20"/>
              </w:rPr>
              <w:t xml:space="preserve">70,1%</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Quadra de esportes</w:t>
            </w:r>
          </w:p>
        </w:tc>
        <w:tc>
          <w:tcPr>
            <w:tcW w:type="dxa" w:w="3000"/>
            <w:tcMar>
              <w:top w:type="dxa" w:w="80"/>
              <w:left w:type="dxa" w:w="100"/>
              <w:bottom w:type="dxa" w:w="80"/>
              <w:right w:type="dxa" w:w="100"/>
            </w:tcMar>
          </w:tcPr>
          <w:p>
            <w:pPr>
              <w:jc w:val="right"/>
            </w:pPr>
            <w:r>
              <w:rPr>
                <w:b w:val="false"/>
                <w:bCs w:val="false"/>
                <w:color w:val="000000"/>
                <w:sz w:val="20"/>
                <w:szCs w:val="20"/>
              </w:rPr>
              <w:t xml:space="preserve">64,8%</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Pátio coberto</w:t>
            </w:r>
          </w:p>
        </w:tc>
        <w:tc>
          <w:tcPr>
            <w:tcW w:type="dxa" w:w="3000"/>
            <w:tcMar>
              <w:top w:type="dxa" w:w="80"/>
              <w:left w:type="dxa" w:w="100"/>
              <w:bottom w:type="dxa" w:w="80"/>
              <w:right w:type="dxa" w:w="100"/>
            </w:tcMar>
          </w:tcPr>
          <w:p>
            <w:pPr>
              <w:jc w:val="right"/>
            </w:pPr>
            <w:r>
              <w:rPr>
                <w:b w:val="false"/>
                <w:bCs w:val="false"/>
                <w:color w:val="000000"/>
                <w:sz w:val="20"/>
                <w:szCs w:val="20"/>
              </w:rPr>
              <w:t xml:space="preserve">64,3%</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Refeitório</w:t>
            </w:r>
          </w:p>
        </w:tc>
        <w:tc>
          <w:tcPr>
            <w:tcW w:type="dxa" w:w="3000"/>
            <w:tcMar>
              <w:top w:type="dxa" w:w="80"/>
              <w:left w:type="dxa" w:w="100"/>
              <w:bottom w:type="dxa" w:w="80"/>
              <w:right w:type="dxa" w:w="100"/>
            </w:tcMar>
          </w:tcPr>
          <w:p>
            <w:pPr>
              <w:jc w:val="right"/>
            </w:pPr>
            <w:r>
              <w:rPr>
                <w:b w:val="false"/>
                <w:bCs w:val="false"/>
                <w:color w:val="000000"/>
                <w:sz w:val="20"/>
                <w:szCs w:val="20"/>
              </w:rPr>
              <w:t xml:space="preserve">60,0%</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Esgoto ligado à rede pública</w:t>
            </w:r>
          </w:p>
        </w:tc>
        <w:tc>
          <w:tcPr>
            <w:tcW w:type="dxa" w:w="3000"/>
            <w:tcMar>
              <w:top w:type="dxa" w:w="80"/>
              <w:left w:type="dxa" w:w="100"/>
              <w:bottom w:type="dxa" w:w="80"/>
              <w:right w:type="dxa" w:w="100"/>
            </w:tcMar>
          </w:tcPr>
          <w:p>
            <w:pPr>
              <w:jc w:val="right"/>
            </w:pPr>
            <w:r>
              <w:rPr>
                <w:b w:val="false"/>
                <w:bCs w:val="false"/>
                <w:color w:val="000000"/>
                <w:sz w:val="20"/>
                <w:szCs w:val="20"/>
              </w:rPr>
              <w:t xml:space="preserve">54,4%</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Sala de atendimento educacional especializado (AEE)</w:t>
            </w:r>
          </w:p>
        </w:tc>
        <w:tc>
          <w:tcPr>
            <w:tcW w:type="dxa" w:w="3000"/>
            <w:tcMar>
              <w:top w:type="dxa" w:w="80"/>
              <w:left w:type="dxa" w:w="100"/>
              <w:bottom w:type="dxa" w:w="80"/>
              <w:right w:type="dxa" w:w="100"/>
            </w:tcMar>
          </w:tcPr>
          <w:p>
            <w:pPr>
              <w:jc w:val="right"/>
            </w:pPr>
            <w:r>
              <w:rPr>
                <w:b w:val="false"/>
                <w:bCs w:val="false"/>
                <w:color w:val="000000"/>
                <w:sz w:val="20"/>
                <w:szCs w:val="20"/>
              </w:rPr>
              <w:t xml:space="preserve">54,7%</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Biblioteca (sala dedicada)</w:t>
            </w:r>
          </w:p>
        </w:tc>
        <w:tc>
          <w:tcPr>
            <w:tcW w:type="dxa" w:w="3000"/>
            <w:tcMar>
              <w:top w:type="dxa" w:w="80"/>
              <w:left w:type="dxa" w:w="100"/>
              <w:bottom w:type="dxa" w:w="80"/>
              <w:right w:type="dxa" w:w="100"/>
            </w:tcMar>
          </w:tcPr>
          <w:p>
            <w:pPr>
              <w:jc w:val="right"/>
            </w:pPr>
            <w:r>
              <w:rPr>
                <w:b w:val="false"/>
                <w:bCs w:val="false"/>
                <w:color w:val="000000"/>
                <w:sz w:val="20"/>
                <w:szCs w:val="20"/>
              </w:rPr>
              <w:t xml:space="preserve">51,7%</w:t>
            </w:r>
          </w:p>
        </w:tc>
      </w:tr>
      <w:tr>
        <w:tc>
          <w:tcPr>
            <w:tcW w:type="dxa" w:w="6800"/>
            <w:tcMar>
              <w:top w:type="dxa" w:w="80"/>
              <w:left w:type="dxa" w:w="100"/>
              <w:bottom w:type="dxa" w:w="80"/>
              <w:right w:type="dxa" w:w="100"/>
            </w:tcMar>
          </w:tcPr>
          <w:p>
            <w:pPr>
              <w:jc w:val="left"/>
            </w:pPr>
            <w:r>
              <w:rPr>
                <w:b w:val="false"/>
                <w:bCs w:val="false"/>
                <w:color w:val="000000"/>
                <w:sz w:val="20"/>
                <w:szCs w:val="20"/>
              </w:rPr>
              <w:t xml:space="preserve">Parque infantil</w:t>
            </w:r>
          </w:p>
        </w:tc>
        <w:tc>
          <w:tcPr>
            <w:tcW w:type="dxa" w:w="3000"/>
            <w:tcMar>
              <w:top w:type="dxa" w:w="80"/>
              <w:left w:type="dxa" w:w="100"/>
              <w:bottom w:type="dxa" w:w="80"/>
              <w:right w:type="dxa" w:w="100"/>
            </w:tcMar>
          </w:tcPr>
          <w:p>
            <w:pPr>
              <w:jc w:val="right"/>
            </w:pPr>
            <w:r>
              <w:rPr>
                <w:b w:val="false"/>
                <w:bCs w:val="false"/>
                <w:color w:val="000000"/>
                <w:sz w:val="20"/>
                <w:szCs w:val="20"/>
              </w:rPr>
              <w:t xml:space="preserve">20,0%</w:t>
            </w:r>
          </w:p>
        </w:tc>
      </w:tr>
    </w:tbl>
    <w:p>
      <w:pPr>
        <w:spacing w:after="160"/>
      </w:pPr>
    </w:p>
    <w:p>
      <w:pPr>
        <w:spacing w:after="160"/>
      </w:pPr>
      <w:r>
        <w:t xml:space="preserve">Diferente da infraestrutura tecnológica — quase universalizada (internet em 98,5% das escolas) —, a infraestrutura básica de saneamento e a estrutura física mostram lacunas mais expressivas: apenas 54,4% das escolas têm esgoto ligado à rede pública, e só uma em cada cinco tem parque infantil.</w:t>
      </w:r>
    </w:p>
    <w:p>
      <w:pPr>
        <w:pStyle w:val="Heading2"/>
        <w:spacing w:after="120" w:before="240"/>
      </w:pPr>
      <w:r>
        <w:t xml:space="preserve">8.2 Por localização (urbana × rural)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900"/>
      </w:tblGrid>
      <w:tr>
        <w:trPr>
          <w:tblHeader/>
        </w:trPr>
        <w:tc>
          <w:tcPr>
            <w:tcW w:type="dxa" w:w="4200"/>
            <w:shd w:fill="1F4E79" w:val="clear"/>
            <w:tcMar>
              <w:top w:type="dxa" w:w="80"/>
              <w:left w:type="dxa" w:w="100"/>
              <w:bottom w:type="dxa" w:w="80"/>
              <w:right w:type="dxa" w:w="100"/>
            </w:tcMar>
          </w:tcPr>
          <w:p>
            <w:pPr>
              <w:jc w:val="left"/>
            </w:pPr>
            <w:r>
              <w:rPr>
                <w:b/>
                <w:bCs/>
                <w:color w:val="FFFFFF"/>
                <w:sz w:val="20"/>
                <w:szCs w:val="20"/>
              </w:rPr>
              <w:t xml:space="preserve">Recurso</w:t>
            </w:r>
          </w:p>
        </w:tc>
        <w:tc>
          <w:tcPr>
            <w:tcW w:type="dxa" w:w="2700"/>
            <w:shd w:fill="1F4E79" w:val="clear"/>
            <w:tcMar>
              <w:top w:type="dxa" w:w="80"/>
              <w:left w:type="dxa" w:w="100"/>
              <w:bottom w:type="dxa" w:w="80"/>
              <w:right w:type="dxa" w:w="100"/>
            </w:tcMar>
          </w:tcPr>
          <w:p>
            <w:pPr>
              <w:jc w:val="left"/>
            </w:pPr>
            <w:r>
              <w:rPr>
                <w:b/>
                <w:bCs/>
                <w:color w:val="FFFFFF"/>
                <w:sz w:val="20"/>
                <w:szCs w:val="20"/>
              </w:rPr>
              <w:t xml:space="preserve">Rural</w:t>
            </w:r>
          </w:p>
        </w:tc>
        <w:tc>
          <w:tcPr>
            <w:tcW w:type="dxa" w:w="2900"/>
            <w:shd w:fill="1F4E79" w:val="clear"/>
            <w:tcMar>
              <w:top w:type="dxa" w:w="80"/>
              <w:left w:type="dxa" w:w="100"/>
              <w:bottom w:type="dxa" w:w="80"/>
              <w:right w:type="dxa" w:w="100"/>
            </w:tcMar>
          </w:tcPr>
          <w:p>
            <w:pPr>
              <w:jc w:val="left"/>
            </w:pPr>
            <w:r>
              <w:rPr>
                <w:b/>
                <w:bCs/>
                <w:color w:val="FFFFFF"/>
                <w:sz w:val="20"/>
                <w:szCs w:val="20"/>
              </w:rPr>
              <w:t xml:space="preserve">Urbana</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Esgoto rede pública</w:t>
            </w:r>
          </w:p>
        </w:tc>
        <w:tc>
          <w:tcPr>
            <w:tcW w:type="dxa" w:w="2700"/>
            <w:tcMar>
              <w:top w:type="dxa" w:w="80"/>
              <w:left w:type="dxa" w:w="100"/>
              <w:bottom w:type="dxa" w:w="80"/>
              <w:right w:type="dxa" w:w="100"/>
            </w:tcMar>
          </w:tcPr>
          <w:p>
            <w:pPr>
              <w:jc w:val="right"/>
            </w:pPr>
            <w:r>
              <w:rPr>
                <w:b w:val="false"/>
                <w:bCs w:val="false"/>
                <w:color w:val="000000"/>
                <w:sz w:val="20"/>
                <w:szCs w:val="20"/>
              </w:rPr>
              <w:t xml:space="preserve">11,4%</w:t>
            </w:r>
          </w:p>
        </w:tc>
        <w:tc>
          <w:tcPr>
            <w:tcW w:type="dxa" w:w="2900"/>
            <w:tcMar>
              <w:top w:type="dxa" w:w="80"/>
              <w:left w:type="dxa" w:w="100"/>
              <w:bottom w:type="dxa" w:w="80"/>
              <w:right w:type="dxa" w:w="100"/>
            </w:tcMar>
          </w:tcPr>
          <w:p>
            <w:pPr>
              <w:jc w:val="right"/>
            </w:pPr>
            <w:r>
              <w:rPr>
                <w:b w:val="false"/>
                <w:bCs w:val="false"/>
                <w:color w:val="000000"/>
                <w:sz w:val="20"/>
                <w:szCs w:val="20"/>
              </w:rPr>
              <w:t xml:space="preserve">69,7%</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Biblioteca</w:t>
            </w:r>
          </w:p>
        </w:tc>
        <w:tc>
          <w:tcPr>
            <w:tcW w:type="dxa" w:w="2700"/>
            <w:tcMar>
              <w:top w:type="dxa" w:w="80"/>
              <w:left w:type="dxa" w:w="100"/>
              <w:bottom w:type="dxa" w:w="80"/>
              <w:right w:type="dxa" w:w="100"/>
            </w:tcMar>
          </w:tcPr>
          <w:p>
            <w:pPr>
              <w:jc w:val="right"/>
            </w:pPr>
            <w:r>
              <w:rPr>
                <w:b w:val="false"/>
                <w:bCs w:val="false"/>
                <w:color w:val="000000"/>
                <w:sz w:val="20"/>
                <w:szCs w:val="20"/>
              </w:rPr>
              <w:t xml:space="preserve">33,6%</w:t>
            </w:r>
          </w:p>
        </w:tc>
        <w:tc>
          <w:tcPr>
            <w:tcW w:type="dxa" w:w="2900"/>
            <w:tcMar>
              <w:top w:type="dxa" w:w="80"/>
              <w:left w:type="dxa" w:w="100"/>
              <w:bottom w:type="dxa" w:w="80"/>
              <w:right w:type="dxa" w:w="100"/>
            </w:tcMar>
          </w:tcPr>
          <w:p>
            <w:pPr>
              <w:jc w:val="right"/>
            </w:pPr>
            <w:r>
              <w:rPr>
                <w:b w:val="false"/>
                <w:bCs w:val="false"/>
                <w:color w:val="000000"/>
                <w:sz w:val="20"/>
                <w:szCs w:val="20"/>
              </w:rPr>
              <w:t xml:space="preserve">58,2%</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Quadra de esportes</w:t>
            </w:r>
          </w:p>
        </w:tc>
        <w:tc>
          <w:tcPr>
            <w:tcW w:type="dxa" w:w="2700"/>
            <w:tcMar>
              <w:top w:type="dxa" w:w="80"/>
              <w:left w:type="dxa" w:w="100"/>
              <w:bottom w:type="dxa" w:w="80"/>
              <w:right w:type="dxa" w:w="100"/>
            </w:tcMar>
          </w:tcPr>
          <w:p>
            <w:pPr>
              <w:jc w:val="right"/>
            </w:pPr>
            <w:r>
              <w:rPr>
                <w:b w:val="false"/>
                <w:bCs w:val="false"/>
                <w:color w:val="000000"/>
                <w:sz w:val="20"/>
                <w:szCs w:val="20"/>
              </w:rPr>
              <w:t xml:space="preserve">39,9%</w:t>
            </w:r>
          </w:p>
        </w:tc>
        <w:tc>
          <w:tcPr>
            <w:tcW w:type="dxa" w:w="2900"/>
            <w:tcMar>
              <w:top w:type="dxa" w:w="80"/>
              <w:left w:type="dxa" w:w="100"/>
              <w:bottom w:type="dxa" w:w="80"/>
              <w:right w:type="dxa" w:w="100"/>
            </w:tcMar>
          </w:tcPr>
          <w:p>
            <w:pPr>
              <w:jc w:val="right"/>
            </w:pPr>
            <w:r>
              <w:rPr>
                <w:b w:val="false"/>
                <w:bCs w:val="false"/>
                <w:color w:val="000000"/>
                <w:sz w:val="20"/>
                <w:szCs w:val="20"/>
              </w:rPr>
              <w:t xml:space="preserve">73,6%</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Sala de AEE</w:t>
            </w:r>
          </w:p>
        </w:tc>
        <w:tc>
          <w:tcPr>
            <w:tcW w:type="dxa" w:w="2700"/>
            <w:tcMar>
              <w:top w:type="dxa" w:w="80"/>
              <w:left w:type="dxa" w:w="100"/>
              <w:bottom w:type="dxa" w:w="80"/>
              <w:right w:type="dxa" w:w="100"/>
            </w:tcMar>
          </w:tcPr>
          <w:p>
            <w:pPr>
              <w:jc w:val="right"/>
            </w:pPr>
            <w:r>
              <w:rPr>
                <w:b w:val="false"/>
                <w:bCs w:val="false"/>
                <w:color w:val="000000"/>
                <w:sz w:val="20"/>
                <w:szCs w:val="20"/>
              </w:rPr>
              <w:t xml:space="preserve">35,9%</w:t>
            </w:r>
          </w:p>
        </w:tc>
        <w:tc>
          <w:tcPr>
            <w:tcW w:type="dxa" w:w="2900"/>
            <w:tcMar>
              <w:top w:type="dxa" w:w="80"/>
              <w:left w:type="dxa" w:w="100"/>
              <w:bottom w:type="dxa" w:w="80"/>
              <w:right w:type="dxa" w:w="100"/>
            </w:tcMar>
          </w:tcPr>
          <w:p>
            <w:pPr>
              <w:jc w:val="right"/>
            </w:pPr>
            <w:r>
              <w:rPr>
                <w:b w:val="false"/>
                <w:bCs w:val="false"/>
                <w:color w:val="000000"/>
                <w:sz w:val="20"/>
                <w:szCs w:val="20"/>
              </w:rPr>
              <w:t xml:space="preserve">61,4%</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Acessibilidade (algum recurso)</w:t>
            </w:r>
          </w:p>
        </w:tc>
        <w:tc>
          <w:tcPr>
            <w:tcW w:type="dxa" w:w="2700"/>
            <w:tcMar>
              <w:top w:type="dxa" w:w="80"/>
              <w:left w:type="dxa" w:w="100"/>
              <w:bottom w:type="dxa" w:w="80"/>
              <w:right w:type="dxa" w:w="100"/>
            </w:tcMar>
          </w:tcPr>
          <w:p>
            <w:pPr>
              <w:jc w:val="right"/>
            </w:pPr>
            <w:r>
              <w:rPr>
                <w:b w:val="false"/>
                <w:bCs w:val="false"/>
                <w:color w:val="000000"/>
                <w:sz w:val="20"/>
                <w:szCs w:val="20"/>
              </w:rPr>
              <w:t xml:space="preserve">70,0%</w:t>
            </w:r>
          </w:p>
        </w:tc>
        <w:tc>
          <w:tcPr>
            <w:tcW w:type="dxa" w:w="2900"/>
            <w:tcMar>
              <w:top w:type="dxa" w:w="80"/>
              <w:left w:type="dxa" w:w="100"/>
              <w:bottom w:type="dxa" w:w="80"/>
              <w:right w:type="dxa" w:w="100"/>
            </w:tcMar>
          </w:tcPr>
          <w:p>
            <w:pPr>
              <w:jc w:val="right"/>
            </w:pPr>
            <w:r>
              <w:rPr>
                <w:b w:val="false"/>
                <w:bCs w:val="false"/>
                <w:color w:val="000000"/>
                <w:sz w:val="20"/>
                <w:szCs w:val="20"/>
              </w:rPr>
              <w:t xml:space="preserve">84,6%</w:t>
            </w:r>
          </w:p>
        </w:tc>
      </w:tr>
    </w:tbl>
    <w:p>
      <w:pPr>
        <w:spacing w:after="160"/>
      </w:pPr>
    </w:p>
    <w:p>
      <w:pPr>
        <w:spacing w:after="160"/>
      </w:pPr>
      <w:r>
        <w:t xml:space="preserve">O contraste urbano × rural é muito mais acentuado na infraestrutura básica do que foi observado na tecnológica: em esgoto ligado à rede pública, a diferença passa de 6 vezes (11,4% vs. 69,9%), enquanto em internet a diferença entre as mesmas localizações era de apenas ~3,5 pontos percentuais (Seção 7.1 do levantamento anterior).</w:t>
      </w:r>
    </w:p>
    <w:p>
      <w:pPr>
        <w:pStyle w:val="Heading2"/>
        <w:spacing w:after="120" w:before="240"/>
      </w:pPr>
      <w:r>
        <w:t xml:space="preserve">8.3 Índice composto de infraestrutura geral e correlação com o Ideb</w:t>
      </w:r>
    </w:p>
    <w:p>
      <w:pPr>
        <w:spacing w:after="160"/>
      </w:pPr>
      <w:r>
        <w:t xml:space="preserve">Para resumir as 10 variáveis binárias de infraestrutura básica/física em uma única medida, foi criado um índice simples — a proporção desses recursos presentes na escola (0 a 1). A média do índice na base é 0,65 (mediana 0,70), com desvio-padrão de 0,20.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800"/>
        <w:gridCol w:w="3000"/>
      </w:tblGrid>
      <w:tr>
        <w:trPr>
          <w:tblHeader/>
        </w:trPr>
        <w:tc>
          <w:tcPr>
            <w:tcW w:type="dxa" w:w="5800"/>
            <w:shd w:fill="1F4E79" w:val="clear"/>
            <w:tcMar>
              <w:top w:type="dxa" w:w="80"/>
              <w:left w:type="dxa" w:w="100"/>
              <w:bottom w:type="dxa" w:w="80"/>
              <w:right w:type="dxa" w:w="100"/>
            </w:tcMar>
          </w:tcPr>
          <w:p>
            <w:pPr>
              <w:jc w:val="left"/>
            </w:pPr>
            <w:r>
              <w:rPr>
                <w:b/>
                <w:bCs/>
                <w:color w:val="FFFFFF"/>
                <w:sz w:val="20"/>
                <w:szCs w:val="20"/>
              </w:rPr>
              <w:t xml:space="preserve">Par de variáveis</w:t>
            </w:r>
          </w:p>
        </w:tc>
        <w:tc>
          <w:tcPr>
            <w:tcW w:type="dxa" w:w="3000"/>
            <w:shd w:fill="1F4E79" w:val="clear"/>
            <w:tcMar>
              <w:top w:type="dxa" w:w="80"/>
              <w:left w:type="dxa" w:w="100"/>
              <w:bottom w:type="dxa" w:w="80"/>
              <w:right w:type="dxa" w:w="100"/>
            </w:tcMar>
          </w:tcPr>
          <w:p>
            <w:pPr>
              <w:jc w:val="left"/>
            </w:pPr>
            <w:r>
              <w:rPr>
                <w:b/>
                <w:bCs/>
                <w:color w:val="FFFFFF"/>
                <w:sz w:val="20"/>
                <w:szCs w:val="20"/>
              </w:rPr>
              <w:t xml:space="preserve">Coeficiente (Pearson)</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índice de infraestrutura geral</w:t>
            </w:r>
          </w:p>
        </w:tc>
        <w:tc>
          <w:tcPr>
            <w:tcW w:type="dxa" w:w="3000"/>
            <w:tcMar>
              <w:top w:type="dxa" w:w="80"/>
              <w:left w:type="dxa" w:w="100"/>
              <w:bottom w:type="dxa" w:w="80"/>
              <w:right w:type="dxa" w:w="100"/>
            </w:tcMar>
          </w:tcPr>
          <w:p>
            <w:pPr>
              <w:jc w:val="right"/>
            </w:pPr>
            <w:r>
              <w:rPr>
                <w:b w:val="false"/>
                <w:bCs w:val="false"/>
                <w:color w:val="000000"/>
                <w:sz w:val="20"/>
                <w:szCs w:val="20"/>
              </w:rPr>
              <w:t xml:space="preserve">0,175</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esgoto rede pública</w:t>
            </w:r>
          </w:p>
        </w:tc>
        <w:tc>
          <w:tcPr>
            <w:tcW w:type="dxa" w:w="3000"/>
            <w:tcMar>
              <w:top w:type="dxa" w:w="80"/>
              <w:left w:type="dxa" w:w="100"/>
              <w:bottom w:type="dxa" w:w="80"/>
              <w:right w:type="dxa" w:w="100"/>
            </w:tcMar>
          </w:tcPr>
          <w:p>
            <w:pPr>
              <w:jc w:val="right"/>
            </w:pPr>
            <w:r>
              <w:rPr>
                <w:b w:val="false"/>
                <w:bCs w:val="false"/>
                <w:color w:val="000000"/>
                <w:sz w:val="20"/>
                <w:szCs w:val="20"/>
              </w:rPr>
              <w:t xml:space="preserve">0,104</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parque infantil</w:t>
            </w:r>
          </w:p>
        </w:tc>
        <w:tc>
          <w:tcPr>
            <w:tcW w:type="dxa" w:w="3000"/>
            <w:tcMar>
              <w:top w:type="dxa" w:w="80"/>
              <w:left w:type="dxa" w:w="100"/>
              <w:bottom w:type="dxa" w:w="80"/>
              <w:right w:type="dxa" w:w="100"/>
            </w:tcMar>
          </w:tcPr>
          <w:p>
            <w:pPr>
              <w:jc w:val="right"/>
            </w:pPr>
            <w:r>
              <w:rPr>
                <w:b w:val="false"/>
                <w:bCs w:val="false"/>
                <w:color w:val="000000"/>
                <w:sz w:val="20"/>
                <w:szCs w:val="20"/>
              </w:rPr>
              <w:t xml:space="preserve">0,281</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acessibilidade (algum recurso)</w:t>
            </w:r>
          </w:p>
        </w:tc>
        <w:tc>
          <w:tcPr>
            <w:tcW w:type="dxa" w:w="3000"/>
            <w:tcMar>
              <w:top w:type="dxa" w:w="80"/>
              <w:left w:type="dxa" w:w="100"/>
              <w:bottom w:type="dxa" w:w="80"/>
              <w:right w:type="dxa" w:w="100"/>
            </w:tcMar>
          </w:tcPr>
          <w:p>
            <w:pPr>
              <w:jc w:val="right"/>
            </w:pPr>
            <w:r>
              <w:rPr>
                <w:b w:val="false"/>
                <w:bCs w:val="false"/>
                <w:color w:val="000000"/>
                <w:sz w:val="20"/>
                <w:szCs w:val="20"/>
              </w:rPr>
              <w:t xml:space="preserve">0,078</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sala de AEE</w:t>
            </w:r>
          </w:p>
        </w:tc>
        <w:tc>
          <w:tcPr>
            <w:tcW w:type="dxa" w:w="3000"/>
            <w:tcMar>
              <w:top w:type="dxa" w:w="80"/>
              <w:left w:type="dxa" w:w="100"/>
              <w:bottom w:type="dxa" w:w="80"/>
              <w:right w:type="dxa" w:w="100"/>
            </w:tcMar>
          </w:tcPr>
          <w:p>
            <w:pPr>
              <w:jc w:val="right"/>
            </w:pPr>
            <w:r>
              <w:rPr>
                <w:b w:val="false"/>
                <w:bCs w:val="false"/>
                <w:color w:val="000000"/>
                <w:sz w:val="20"/>
                <w:szCs w:val="20"/>
              </w:rPr>
              <w:t xml:space="preserve">0,076</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quadra de esportes</w:t>
            </w:r>
          </w:p>
        </w:tc>
        <w:tc>
          <w:tcPr>
            <w:tcW w:type="dxa" w:w="3000"/>
            <w:tcMar>
              <w:top w:type="dxa" w:w="80"/>
              <w:left w:type="dxa" w:w="100"/>
              <w:bottom w:type="dxa" w:w="80"/>
              <w:right w:type="dxa" w:w="100"/>
            </w:tcMar>
          </w:tcPr>
          <w:p>
            <w:pPr>
              <w:jc w:val="right"/>
            </w:pPr>
            <w:r>
              <w:rPr>
                <w:b w:val="false"/>
                <w:bCs w:val="false"/>
                <w:color w:val="000000"/>
                <w:sz w:val="20"/>
                <w:szCs w:val="20"/>
              </w:rPr>
              <w:t xml:space="preserve">0,058</w:t>
            </w:r>
          </w:p>
        </w:tc>
      </w:tr>
      <w:tr>
        <w:tc>
          <w:tcPr>
            <w:tcW w:type="dxa" w:w="5800"/>
            <w:tcMar>
              <w:top w:type="dxa" w:w="80"/>
              <w:left w:type="dxa" w:w="100"/>
              <w:bottom w:type="dxa" w:w="80"/>
              <w:right w:type="dxa" w:w="100"/>
            </w:tcMar>
          </w:tcPr>
          <w:p>
            <w:pPr>
              <w:jc w:val="left"/>
            </w:pPr>
            <w:r>
              <w:rPr>
                <w:b w:val="false"/>
                <w:bCs w:val="false"/>
                <w:color w:val="000000"/>
                <w:sz w:val="20"/>
                <w:szCs w:val="20"/>
              </w:rPr>
              <w:t xml:space="preserve">Ideb × biblioteca</w:t>
            </w:r>
          </w:p>
        </w:tc>
        <w:tc>
          <w:tcPr>
            <w:tcW w:type="dxa" w:w="3000"/>
            <w:tcMar>
              <w:top w:type="dxa" w:w="80"/>
              <w:left w:type="dxa" w:w="100"/>
              <w:bottom w:type="dxa" w:w="80"/>
              <w:right w:type="dxa" w:w="100"/>
            </w:tcMar>
          </w:tcPr>
          <w:p>
            <w:pPr>
              <w:jc w:val="right"/>
            </w:pPr>
            <w:r>
              <w:rPr>
                <w:b w:val="false"/>
                <w:bCs w:val="false"/>
                <w:color w:val="000000"/>
                <w:sz w:val="20"/>
                <w:szCs w:val="20"/>
              </w:rPr>
              <w:t xml:space="preserve">-0,019</w:t>
            </w:r>
          </w:p>
        </w:tc>
      </w:tr>
    </w:tbl>
    <w:p>
      <w:pPr>
        <w:spacing w:after="160"/>
      </w:pPr>
    </w:p>
    <w:p>
      <w:pPr>
        <w:spacing w:after="160"/>
      </w:pPr>
      <w:r>
        <w:t xml:space="preserve">O índice composto de infraestrutura geral (r = 0,175) tem correlação com o Ideb mais forte do que qualquer variável tecnológica isolada vista na Seção 7.2 (a maior lá foi internet, r ≈ 0,10). O caso de maior correlação individual, parque infantil (r = 0,281), deve ser lido com cautela: é provável que funcione como proxy de um contexto socioeconômico mais favorável ou de gestão escolar mais estruturada, não como causa direta do desempenho — o mesmo raciocínio de confundimento já discutido na proposta se aplica aqui. Chama atenção também o caso da biblioteca, cuja correlação com o Ideb é praticamente nula (r = -0,019), sugerindo que a mera presença do espaço físico, sem informação sobre uso ou acervo, tem pouco poder explicativo isolado.</w:t>
      </w:r>
    </w:p>
    <w:p>
      <w:pPr>
        <w:pStyle w:val="Heading2"/>
        <w:spacing w:after="120" w:before="240"/>
      </w:pPr>
      <w:r>
        <w:t xml:space="preserve">8.4 Índice de infraestrutura geral por região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600"/>
        <w:gridCol w:w="1900"/>
      </w:tblGrid>
      <w:tr>
        <w:trPr>
          <w:tblHeader/>
        </w:trPr>
        <w:tc>
          <w:tcPr>
            <w:tcW w:type="dxa" w:w="3000"/>
            <w:shd w:fill="1F4E79" w:val="clear"/>
            <w:tcMar>
              <w:top w:type="dxa" w:w="80"/>
              <w:left w:type="dxa" w:w="100"/>
              <w:bottom w:type="dxa" w:w="80"/>
              <w:right w:type="dxa" w:w="100"/>
            </w:tcMar>
          </w:tcPr>
          <w:p>
            <w:pPr>
              <w:jc w:val="left"/>
            </w:pPr>
            <w:r>
              <w:rPr>
                <w:b/>
                <w:bCs/>
                <w:color w:val="FFFFFF"/>
                <w:sz w:val="20"/>
                <w:szCs w:val="20"/>
              </w:rPr>
              <w:t xml:space="preserve">Região</w:t>
            </w:r>
          </w:p>
        </w:tc>
        <w:tc>
          <w:tcPr>
            <w:tcW w:type="dxa" w:w="3200"/>
            <w:shd w:fill="1F4E79" w:val="clear"/>
            <w:tcMar>
              <w:top w:type="dxa" w:w="80"/>
              <w:left w:type="dxa" w:w="100"/>
              <w:bottom w:type="dxa" w:w="80"/>
              <w:right w:type="dxa" w:w="100"/>
            </w:tcMar>
          </w:tcPr>
          <w:p>
            <w:pPr>
              <w:jc w:val="left"/>
            </w:pPr>
            <w:r>
              <w:rPr>
                <w:b/>
                <w:bCs/>
                <w:color w:val="FFFFFF"/>
                <w:sz w:val="20"/>
                <w:szCs w:val="20"/>
              </w:rPr>
              <w:t xml:space="preserve">Índice médio de infra. geral</w:t>
            </w:r>
          </w:p>
        </w:tc>
        <w:tc>
          <w:tcPr>
            <w:tcW w:type="dxa" w:w="2600"/>
            <w:shd w:fill="1F4E79" w:val="clear"/>
            <w:tcMar>
              <w:top w:type="dxa" w:w="80"/>
              <w:left w:type="dxa" w:w="100"/>
              <w:bottom w:type="dxa" w:w="80"/>
              <w:right w:type="dxa" w:w="100"/>
            </w:tcMar>
          </w:tcPr>
          <w:p>
            <w:pPr>
              <w:jc w:val="left"/>
            </w:pPr>
            <w:r>
              <w:rPr>
                <w:b/>
                <w:bCs/>
                <w:color w:val="FFFFFF"/>
                <w:sz w:val="20"/>
                <w:szCs w:val="20"/>
              </w:rPr>
              <w:t xml:space="preserve">% esgoto rede pública</w:t>
            </w:r>
          </w:p>
        </w:tc>
        <w:tc>
          <w:tcPr>
            <w:tcW w:type="dxa" w:w="1900"/>
            <w:shd w:fill="1F4E79" w:val="clear"/>
            <w:tcMar>
              <w:top w:type="dxa" w:w="80"/>
              <w:left w:type="dxa" w:w="100"/>
              <w:bottom w:type="dxa" w:w="80"/>
              <w:right w:type="dxa" w:w="100"/>
            </w:tcMar>
          </w:tcPr>
          <w:p>
            <w:pPr>
              <w:jc w:val="left"/>
            </w:pPr>
            <w:r>
              <w:rPr>
                <w:b/>
                <w:bCs/>
                <w:color w:val="FFFFFF"/>
                <w:sz w:val="20"/>
                <w:szCs w:val="20"/>
              </w:rPr>
              <w:t xml:space="preserve">Ideb médio</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Sul</w:t>
            </w:r>
          </w:p>
        </w:tc>
        <w:tc>
          <w:tcPr>
            <w:tcW w:type="dxa" w:w="3200"/>
            <w:tcMar>
              <w:top w:type="dxa" w:w="80"/>
              <w:left w:type="dxa" w:w="100"/>
              <w:bottom w:type="dxa" w:w="80"/>
              <w:right w:type="dxa" w:w="100"/>
            </w:tcMar>
          </w:tcPr>
          <w:p>
            <w:pPr>
              <w:jc w:val="right"/>
            </w:pPr>
            <w:r>
              <w:rPr>
                <w:b w:val="false"/>
                <w:bCs w:val="false"/>
                <w:color w:val="000000"/>
                <w:sz w:val="20"/>
                <w:szCs w:val="20"/>
              </w:rPr>
              <w:t xml:space="preserve">0,78</w:t>
            </w:r>
          </w:p>
        </w:tc>
        <w:tc>
          <w:tcPr>
            <w:tcW w:type="dxa" w:w="2600"/>
            <w:tcMar>
              <w:top w:type="dxa" w:w="80"/>
              <w:left w:type="dxa" w:w="100"/>
              <w:bottom w:type="dxa" w:w="80"/>
              <w:right w:type="dxa" w:w="100"/>
            </w:tcMar>
          </w:tcPr>
          <w:p>
            <w:pPr>
              <w:jc w:val="right"/>
            </w:pPr>
            <w:r>
              <w:rPr>
                <w:b w:val="false"/>
                <w:bCs w:val="false"/>
                <w:color w:val="000000"/>
                <w:sz w:val="20"/>
                <w:szCs w:val="20"/>
              </w:rPr>
              <w:t xml:space="preserve">59,6%</w:t>
            </w:r>
          </w:p>
        </w:tc>
        <w:tc>
          <w:tcPr>
            <w:tcW w:type="dxa" w:w="1900"/>
            <w:tcMar>
              <w:top w:type="dxa" w:w="80"/>
              <w:left w:type="dxa" w:w="100"/>
              <w:bottom w:type="dxa" w:w="80"/>
              <w:right w:type="dxa" w:w="100"/>
            </w:tcMar>
          </w:tcPr>
          <w:p>
            <w:pPr>
              <w:jc w:val="right"/>
            </w:pPr>
            <w:r>
              <w:rPr>
                <w:b w:val="false"/>
                <w:bCs w:val="false"/>
                <w:color w:val="000000"/>
                <w:sz w:val="20"/>
                <w:szCs w:val="20"/>
              </w:rPr>
              <w:t xml:space="preserve">5,83</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Sudeste</w:t>
            </w:r>
          </w:p>
        </w:tc>
        <w:tc>
          <w:tcPr>
            <w:tcW w:type="dxa" w:w="3200"/>
            <w:tcMar>
              <w:top w:type="dxa" w:w="80"/>
              <w:left w:type="dxa" w:w="100"/>
              <w:bottom w:type="dxa" w:w="80"/>
              <w:right w:type="dxa" w:w="100"/>
            </w:tcMar>
          </w:tcPr>
          <w:p>
            <w:pPr>
              <w:jc w:val="right"/>
            </w:pPr>
            <w:r>
              <w:rPr>
                <w:b w:val="false"/>
                <w:bCs w:val="false"/>
                <w:color w:val="000000"/>
                <w:sz w:val="20"/>
                <w:szCs w:val="20"/>
              </w:rPr>
              <w:t xml:space="preserve">0,72</w:t>
            </w:r>
          </w:p>
        </w:tc>
        <w:tc>
          <w:tcPr>
            <w:tcW w:type="dxa" w:w="2600"/>
            <w:tcMar>
              <w:top w:type="dxa" w:w="80"/>
              <w:left w:type="dxa" w:w="100"/>
              <w:bottom w:type="dxa" w:w="80"/>
              <w:right w:type="dxa" w:w="100"/>
            </w:tcMar>
          </w:tcPr>
          <w:p>
            <w:pPr>
              <w:jc w:val="right"/>
            </w:pPr>
            <w:r>
              <w:rPr>
                <w:b w:val="false"/>
                <w:bCs w:val="false"/>
                <w:color w:val="000000"/>
                <w:sz w:val="20"/>
                <w:szCs w:val="20"/>
              </w:rPr>
              <w:t xml:space="preserve">86,7%</w:t>
            </w:r>
          </w:p>
        </w:tc>
        <w:tc>
          <w:tcPr>
            <w:tcW w:type="dxa" w:w="1900"/>
            <w:tcMar>
              <w:top w:type="dxa" w:w="80"/>
              <w:left w:type="dxa" w:w="100"/>
              <w:bottom w:type="dxa" w:w="80"/>
              <w:right w:type="dxa" w:w="100"/>
            </w:tcMar>
          </w:tcPr>
          <w:p>
            <w:pPr>
              <w:jc w:val="right"/>
            </w:pPr>
            <w:r>
              <w:rPr>
                <w:b w:val="false"/>
                <w:bCs w:val="false"/>
                <w:color w:val="000000"/>
                <w:sz w:val="20"/>
                <w:szCs w:val="20"/>
              </w:rPr>
              <w:t xml:space="preserve">5,50</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Centro-Oeste</w:t>
            </w:r>
          </w:p>
        </w:tc>
        <w:tc>
          <w:tcPr>
            <w:tcW w:type="dxa" w:w="3200"/>
            <w:tcMar>
              <w:top w:type="dxa" w:w="80"/>
              <w:left w:type="dxa" w:w="100"/>
              <w:bottom w:type="dxa" w:w="80"/>
              <w:right w:type="dxa" w:w="100"/>
            </w:tcMar>
          </w:tcPr>
          <w:p>
            <w:pPr>
              <w:jc w:val="right"/>
            </w:pPr>
            <w:r>
              <w:rPr>
                <w:b w:val="false"/>
                <w:bCs w:val="false"/>
                <w:color w:val="000000"/>
                <w:sz w:val="20"/>
                <w:szCs w:val="20"/>
              </w:rPr>
              <w:t xml:space="preserve">0,72</w:t>
            </w:r>
          </w:p>
        </w:tc>
        <w:tc>
          <w:tcPr>
            <w:tcW w:type="dxa" w:w="2600"/>
            <w:tcMar>
              <w:top w:type="dxa" w:w="80"/>
              <w:left w:type="dxa" w:w="100"/>
              <w:bottom w:type="dxa" w:w="80"/>
              <w:right w:type="dxa" w:w="100"/>
            </w:tcMar>
          </w:tcPr>
          <w:p>
            <w:pPr>
              <w:jc w:val="right"/>
            </w:pPr>
            <w:r>
              <w:rPr>
                <w:b w:val="false"/>
                <w:bCs w:val="false"/>
                <w:color w:val="000000"/>
                <w:sz w:val="20"/>
                <w:szCs w:val="20"/>
              </w:rPr>
              <w:t xml:space="preserve">49,6%</w:t>
            </w:r>
          </w:p>
        </w:tc>
        <w:tc>
          <w:tcPr>
            <w:tcW w:type="dxa" w:w="1900"/>
            <w:tcMar>
              <w:top w:type="dxa" w:w="80"/>
              <w:left w:type="dxa" w:w="100"/>
              <w:bottom w:type="dxa" w:w="80"/>
              <w:right w:type="dxa" w:w="100"/>
            </w:tcMar>
          </w:tcPr>
          <w:p>
            <w:pPr>
              <w:jc w:val="right"/>
            </w:pPr>
            <w:r>
              <w:rPr>
                <w:b w:val="false"/>
                <w:bCs w:val="false"/>
                <w:color w:val="000000"/>
                <w:sz w:val="20"/>
                <w:szCs w:val="20"/>
              </w:rPr>
              <w:t xml:space="preserve">5,48</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Nordeste</w:t>
            </w:r>
          </w:p>
        </w:tc>
        <w:tc>
          <w:tcPr>
            <w:tcW w:type="dxa" w:w="3200"/>
            <w:tcMar>
              <w:top w:type="dxa" w:w="80"/>
              <w:left w:type="dxa" w:w="100"/>
              <w:bottom w:type="dxa" w:w="80"/>
              <w:right w:type="dxa" w:w="100"/>
            </w:tcMar>
          </w:tcPr>
          <w:p>
            <w:pPr>
              <w:jc w:val="right"/>
            </w:pPr>
            <w:r>
              <w:rPr>
                <w:b w:val="false"/>
                <w:bCs w:val="false"/>
                <w:color w:val="000000"/>
                <w:sz w:val="20"/>
                <w:szCs w:val="20"/>
              </w:rPr>
              <w:t xml:space="preserve">0,56</w:t>
            </w:r>
          </w:p>
        </w:tc>
        <w:tc>
          <w:tcPr>
            <w:tcW w:type="dxa" w:w="2600"/>
            <w:tcMar>
              <w:top w:type="dxa" w:w="80"/>
              <w:left w:type="dxa" w:w="100"/>
              <w:bottom w:type="dxa" w:w="80"/>
              <w:right w:type="dxa" w:w="100"/>
            </w:tcMar>
          </w:tcPr>
          <w:p>
            <w:pPr>
              <w:jc w:val="right"/>
            </w:pPr>
            <w:r>
              <w:rPr>
                <w:b w:val="false"/>
                <w:bCs w:val="false"/>
                <w:color w:val="000000"/>
                <w:sz w:val="20"/>
                <w:szCs w:val="20"/>
              </w:rPr>
              <w:t xml:space="preserve">38,9%</w:t>
            </w:r>
          </w:p>
        </w:tc>
        <w:tc>
          <w:tcPr>
            <w:tcW w:type="dxa" w:w="1900"/>
            <w:tcMar>
              <w:top w:type="dxa" w:w="80"/>
              <w:left w:type="dxa" w:w="100"/>
              <w:bottom w:type="dxa" w:w="80"/>
              <w:right w:type="dxa" w:w="100"/>
            </w:tcMar>
          </w:tcPr>
          <w:p>
            <w:pPr>
              <w:jc w:val="right"/>
            </w:pPr>
            <w:r>
              <w:rPr>
                <w:b w:val="false"/>
                <w:bCs w:val="false"/>
                <w:color w:val="000000"/>
                <w:sz w:val="20"/>
                <w:szCs w:val="20"/>
              </w:rPr>
              <w:t xml:space="preserve">5,15</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Norte</w:t>
            </w:r>
          </w:p>
        </w:tc>
        <w:tc>
          <w:tcPr>
            <w:tcW w:type="dxa" w:w="3200"/>
            <w:tcMar>
              <w:top w:type="dxa" w:w="80"/>
              <w:left w:type="dxa" w:w="100"/>
              <w:bottom w:type="dxa" w:w="80"/>
              <w:right w:type="dxa" w:w="100"/>
            </w:tcMar>
          </w:tcPr>
          <w:p>
            <w:pPr>
              <w:jc w:val="right"/>
            </w:pPr>
            <w:r>
              <w:rPr>
                <w:b w:val="false"/>
                <w:bCs w:val="false"/>
                <w:color w:val="000000"/>
                <w:sz w:val="20"/>
                <w:szCs w:val="20"/>
              </w:rPr>
              <w:t xml:space="preserve">0,54</w:t>
            </w:r>
          </w:p>
        </w:tc>
        <w:tc>
          <w:tcPr>
            <w:tcW w:type="dxa" w:w="2600"/>
            <w:tcMar>
              <w:top w:type="dxa" w:w="80"/>
              <w:left w:type="dxa" w:w="100"/>
              <w:bottom w:type="dxa" w:w="80"/>
              <w:right w:type="dxa" w:w="100"/>
            </w:tcMar>
          </w:tcPr>
          <w:p>
            <w:pPr>
              <w:jc w:val="right"/>
            </w:pPr>
            <w:r>
              <w:rPr>
                <w:b w:val="false"/>
                <w:bCs w:val="false"/>
                <w:color w:val="000000"/>
                <w:sz w:val="20"/>
                <w:szCs w:val="20"/>
              </w:rPr>
              <w:t xml:space="preserve">14,4%</w:t>
            </w:r>
          </w:p>
        </w:tc>
        <w:tc>
          <w:tcPr>
            <w:tcW w:type="dxa" w:w="1900"/>
            <w:tcMar>
              <w:top w:type="dxa" w:w="80"/>
              <w:left w:type="dxa" w:w="100"/>
              <w:bottom w:type="dxa" w:w="80"/>
              <w:right w:type="dxa" w:w="100"/>
            </w:tcMar>
          </w:tcPr>
          <w:p>
            <w:pPr>
              <w:jc w:val="right"/>
            </w:pPr>
            <w:r>
              <w:rPr>
                <w:b w:val="false"/>
                <w:bCs w:val="false"/>
                <w:color w:val="000000"/>
                <w:sz w:val="20"/>
                <w:szCs w:val="20"/>
              </w:rPr>
              <w:t xml:space="preserve">4,82</w:t>
            </w:r>
          </w:p>
        </w:tc>
      </w:tr>
    </w:tbl>
    <w:p>
      <w:pPr>
        <w:spacing w:after="160"/>
      </w:pPr>
    </w:p>
    <w:p>
      <w:pPr>
        <w:spacing w:after="160"/>
      </w:pPr>
      <w:r>
        <w:t xml:space="preserve">O ranking do índice de infraestrutura geral por região segue, em linhas gerais, o mesmo ranking do Ideb médio (Seção 6): Sul e Sudeste à frente, Nordeste e Norte atrás. A defasagem do Norte em esgoto ligado à rede pública é a mais extrema da tabela — apenas 14,4% das escolas da região têm esse recurso, contra 86,7% no Sudeste — e ilustra como a desigualdade regional atravessa também a infraestrutura básica, não apenas a tecnológica.</w:t>
      </w:r>
    </w:p>
    <w:p>
      <w:pPr>
        <w:pStyle w:val="Heading1"/>
        <w:spacing w:after="160" w:before="320"/>
      </w:pPr>
      <w:r>
        <w:t xml:space="preserve">9. Indicador de Nível Socioeconômico (INSE 2023)</w:t>
      </w:r>
    </w:p>
    <w:p>
      <w:pPr>
        <w:pStyle w:val="Heading2"/>
        <w:spacing w:after="120" w:before="240"/>
      </w:pPr>
      <w:r>
        <w:t xml:space="preserve">9.1 Cobertura e distribuição</w:t>
      </w:r>
    </w:p>
    <w:p>
      <w:pPr>
        <w:spacing w:after="160"/>
      </w:pPr>
      <w:r>
        <w:t xml:space="preserve">Das 78.776 escolas públicas da base final, 71.706 (91,0%) têm INSE calculado — as demais são majoritariamente escolas pequenas, sem amostra suficiente de alunos no questionário do Saeb 2023. A nota do INSE varia de 2,35 a 6,65 na base, com média 4,81.</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shd w:fill="1F4E79" w:val="clear"/>
            <w:tcMar>
              <w:top w:type="dxa" w:w="80"/>
              <w:left w:type="dxa" w:w="100"/>
              <w:bottom w:type="dxa" w:w="80"/>
              <w:right w:type="dxa" w:w="100"/>
            </w:tcMar>
          </w:tcPr>
          <w:p>
            <w:pPr>
              <w:jc w:val="left"/>
            </w:pPr>
            <w:r>
              <w:rPr>
                <w:b/>
                <w:bCs/>
                <w:color w:val="FFFFFF"/>
                <w:sz w:val="20"/>
                <w:szCs w:val="20"/>
              </w:rPr>
              <w:t xml:space="preserve">Classificação</w:t>
            </w:r>
          </w:p>
        </w:tc>
        <w:tc>
          <w:tcPr>
            <w:tcW w:type="dxa" w:w="3200"/>
            <w:shd w:fill="1F4E79" w:val="clear"/>
            <w:tcMar>
              <w:top w:type="dxa" w:w="80"/>
              <w:left w:type="dxa" w:w="100"/>
              <w:bottom w:type="dxa" w:w="80"/>
              <w:right w:type="dxa" w:w="100"/>
            </w:tcMar>
          </w:tcPr>
          <w:p>
            <w:pPr>
              <w:jc w:val="left"/>
            </w:pPr>
            <w:r>
              <w:rPr>
                <w:b/>
                <w:bCs/>
                <w:color w:val="FFFFFF"/>
                <w:sz w:val="20"/>
                <w:szCs w:val="20"/>
              </w:rPr>
              <w:t xml:space="preserve">N de escolas</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V</w:t>
            </w:r>
          </w:p>
        </w:tc>
        <w:tc>
          <w:tcPr>
            <w:tcW w:type="dxa" w:w="3200"/>
            <w:tcMar>
              <w:top w:type="dxa" w:w="80"/>
              <w:left w:type="dxa" w:w="100"/>
              <w:bottom w:type="dxa" w:w="80"/>
              <w:right w:type="dxa" w:w="100"/>
            </w:tcMar>
          </w:tcPr>
          <w:p>
            <w:pPr>
              <w:jc w:val="right"/>
            </w:pPr>
            <w:r>
              <w:rPr>
                <w:b w:val="false"/>
                <w:bCs w:val="false"/>
                <w:color w:val="000000"/>
                <w:sz w:val="20"/>
                <w:szCs w:val="20"/>
              </w:rPr>
              <w:t xml:space="preserve">36.561</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IV</w:t>
            </w:r>
          </w:p>
        </w:tc>
        <w:tc>
          <w:tcPr>
            <w:tcW w:type="dxa" w:w="3200"/>
            <w:tcMar>
              <w:top w:type="dxa" w:w="80"/>
              <w:left w:type="dxa" w:w="100"/>
              <w:bottom w:type="dxa" w:w="80"/>
              <w:right w:type="dxa" w:w="100"/>
            </w:tcMar>
          </w:tcPr>
          <w:p>
            <w:pPr>
              <w:jc w:val="right"/>
            </w:pPr>
            <w:r>
              <w:rPr>
                <w:b w:val="false"/>
                <w:bCs w:val="false"/>
                <w:color w:val="000000"/>
                <w:sz w:val="20"/>
                <w:szCs w:val="20"/>
              </w:rPr>
              <w:t xml:space="preserve">34.022</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III</w:t>
            </w:r>
          </w:p>
        </w:tc>
        <w:tc>
          <w:tcPr>
            <w:tcW w:type="dxa" w:w="3200"/>
            <w:tcMar>
              <w:top w:type="dxa" w:w="80"/>
              <w:left w:type="dxa" w:w="100"/>
              <w:bottom w:type="dxa" w:w="80"/>
              <w:right w:type="dxa" w:w="100"/>
            </w:tcMar>
          </w:tcPr>
          <w:p>
            <w:pPr>
              <w:jc w:val="right"/>
            </w:pPr>
            <w:r>
              <w:rPr>
                <w:b w:val="false"/>
                <w:bCs w:val="false"/>
                <w:color w:val="000000"/>
                <w:sz w:val="20"/>
                <w:szCs w:val="20"/>
              </w:rPr>
              <w:t xml:space="preserve">27.506</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VI</w:t>
            </w:r>
          </w:p>
        </w:tc>
        <w:tc>
          <w:tcPr>
            <w:tcW w:type="dxa" w:w="3200"/>
            <w:tcMar>
              <w:top w:type="dxa" w:w="80"/>
              <w:left w:type="dxa" w:w="100"/>
              <w:bottom w:type="dxa" w:w="80"/>
              <w:right w:type="dxa" w:w="100"/>
            </w:tcMar>
          </w:tcPr>
          <w:p>
            <w:pPr>
              <w:jc w:val="right"/>
            </w:pPr>
            <w:r>
              <w:rPr>
                <w:b w:val="false"/>
                <w:bCs w:val="false"/>
                <w:color w:val="000000"/>
                <w:sz w:val="20"/>
                <w:szCs w:val="20"/>
              </w:rPr>
              <w:t xml:space="preserve">10.043</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II</w:t>
            </w:r>
          </w:p>
        </w:tc>
        <w:tc>
          <w:tcPr>
            <w:tcW w:type="dxa" w:w="3200"/>
            <w:tcMar>
              <w:top w:type="dxa" w:w="80"/>
              <w:left w:type="dxa" w:w="100"/>
              <w:bottom w:type="dxa" w:w="80"/>
              <w:right w:type="dxa" w:w="100"/>
            </w:tcMar>
          </w:tcPr>
          <w:p>
            <w:pPr>
              <w:jc w:val="right"/>
            </w:pPr>
            <w:r>
              <w:rPr>
                <w:b w:val="false"/>
                <w:bCs w:val="false"/>
                <w:color w:val="000000"/>
                <w:sz w:val="20"/>
                <w:szCs w:val="20"/>
              </w:rPr>
              <w:t xml:space="preserve">7.314</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VII</w:t>
            </w:r>
          </w:p>
        </w:tc>
        <w:tc>
          <w:tcPr>
            <w:tcW w:type="dxa" w:w="3200"/>
            <w:tcMar>
              <w:top w:type="dxa" w:w="80"/>
              <w:left w:type="dxa" w:w="100"/>
              <w:bottom w:type="dxa" w:w="80"/>
              <w:right w:type="dxa" w:w="100"/>
            </w:tcMar>
          </w:tcPr>
          <w:p>
            <w:pPr>
              <w:jc w:val="right"/>
            </w:pPr>
            <w:r>
              <w:rPr>
                <w:b w:val="false"/>
                <w:bCs w:val="false"/>
                <w:color w:val="000000"/>
                <w:sz w:val="20"/>
                <w:szCs w:val="20"/>
              </w:rPr>
              <w:t xml:space="preserve">386</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Nível I</w:t>
            </w:r>
          </w:p>
        </w:tc>
        <w:tc>
          <w:tcPr>
            <w:tcW w:type="dxa" w:w="3200"/>
            <w:tcMar>
              <w:top w:type="dxa" w:w="80"/>
              <w:left w:type="dxa" w:w="100"/>
              <w:bottom w:type="dxa" w:w="80"/>
              <w:right w:type="dxa" w:w="100"/>
            </w:tcMar>
          </w:tcPr>
          <w:p>
            <w:pPr>
              <w:jc w:val="right"/>
            </w:pPr>
            <w:r>
              <w:rPr>
                <w:b w:val="false"/>
                <w:bCs w:val="false"/>
                <w:color w:val="000000"/>
                <w:sz w:val="20"/>
                <w:szCs w:val="20"/>
              </w:rPr>
              <w:t xml:space="preserve">95</w:t>
            </w:r>
          </w:p>
        </w:tc>
      </w:tr>
    </w:tbl>
    <w:p>
      <w:pPr>
        <w:spacing w:after="160"/>
      </w:pPr>
    </w:p>
    <w:p>
      <w:pPr>
        <w:spacing w:after="160"/>
      </w:pPr>
      <w:r>
        <w:t xml:space="preserve">A distribuição concentra-se nos níveis intermediários (III a VI reúnem cerca de 94% das escolas), com poucos casos nos extremos — coerente com o desenho do indicador, que usa uma escala de 8 faixas para captar variação fina justamente na faixa onde está a maior parte das escolas públicas brasileiras.</w:t>
      </w:r>
    </w:p>
    <w:p>
      <w:pPr>
        <w:pStyle w:val="Heading2"/>
        <w:spacing w:after="120" w:before="240"/>
      </w:pPr>
      <w:r>
        <w:t xml:space="preserve">9.2 INSE por rede, localização e região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rPr>
          <w:tblHeader/>
        </w:trPr>
        <w:tc>
          <w:tcPr>
            <w:tcW w:type="dxa" w:w="5000"/>
            <w:shd w:fill="1F4E79" w:val="clear"/>
            <w:tcMar>
              <w:top w:type="dxa" w:w="80"/>
              <w:left w:type="dxa" w:w="100"/>
              <w:bottom w:type="dxa" w:w="80"/>
              <w:right w:type="dxa" w:w="100"/>
            </w:tcMar>
          </w:tcPr>
          <w:p>
            <w:pPr>
              <w:jc w:val="left"/>
            </w:pPr>
            <w:r>
              <w:rPr>
                <w:b/>
                <w:bCs/>
                <w:color w:val="FFFFFF"/>
                <w:sz w:val="20"/>
                <w:szCs w:val="20"/>
              </w:rPr>
              <w:t xml:space="preserve">Recorte</w:t>
            </w:r>
          </w:p>
        </w:tc>
        <w:tc>
          <w:tcPr>
            <w:tcW w:type="dxa" w:w="3000"/>
            <w:shd w:fill="1F4E79" w:val="clear"/>
            <w:tcMar>
              <w:top w:type="dxa" w:w="80"/>
              <w:left w:type="dxa" w:w="100"/>
              <w:bottom w:type="dxa" w:w="80"/>
              <w:right w:type="dxa" w:w="100"/>
            </w:tcMar>
          </w:tcPr>
          <w:p>
            <w:pPr>
              <w:jc w:val="left"/>
            </w:pPr>
            <w:r>
              <w:rPr>
                <w:b/>
                <w:bCs/>
                <w:color w:val="FFFFFF"/>
                <w:sz w:val="20"/>
                <w:szCs w:val="20"/>
              </w:rPr>
              <w:t xml:space="preserve">INSE médio</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Rede Federal</w:t>
            </w:r>
          </w:p>
        </w:tc>
        <w:tc>
          <w:tcPr>
            <w:tcW w:type="dxa" w:w="3000"/>
            <w:tcMar>
              <w:top w:type="dxa" w:w="80"/>
              <w:left w:type="dxa" w:w="100"/>
              <w:bottom w:type="dxa" w:w="80"/>
              <w:right w:type="dxa" w:w="100"/>
            </w:tcMar>
          </w:tcPr>
          <w:p>
            <w:pPr>
              <w:jc w:val="right"/>
            </w:pPr>
            <w:r>
              <w:rPr>
                <w:b w:val="false"/>
                <w:bCs w:val="false"/>
                <w:color w:val="000000"/>
                <w:sz w:val="20"/>
                <w:szCs w:val="20"/>
              </w:rPr>
              <w:t xml:space="preserve">5,30</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Rede Estadual</w:t>
            </w:r>
          </w:p>
        </w:tc>
        <w:tc>
          <w:tcPr>
            <w:tcW w:type="dxa" w:w="3000"/>
            <w:tcMar>
              <w:top w:type="dxa" w:w="80"/>
              <w:left w:type="dxa" w:w="100"/>
              <w:bottom w:type="dxa" w:w="80"/>
              <w:right w:type="dxa" w:w="100"/>
            </w:tcMar>
          </w:tcPr>
          <w:p>
            <w:pPr>
              <w:jc w:val="right"/>
            </w:pPr>
            <w:r>
              <w:rPr>
                <w:b w:val="false"/>
                <w:bCs w:val="false"/>
                <w:color w:val="000000"/>
                <w:sz w:val="20"/>
                <w:szCs w:val="20"/>
              </w:rPr>
              <w:t xml:space="preserve">4,94</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Rede Municipal</w:t>
            </w:r>
          </w:p>
        </w:tc>
        <w:tc>
          <w:tcPr>
            <w:tcW w:type="dxa" w:w="3000"/>
            <w:tcMar>
              <w:top w:type="dxa" w:w="80"/>
              <w:left w:type="dxa" w:w="100"/>
              <w:bottom w:type="dxa" w:w="80"/>
              <w:right w:type="dxa" w:w="100"/>
            </w:tcMar>
          </w:tcPr>
          <w:p>
            <w:pPr>
              <w:jc w:val="right"/>
            </w:pPr>
            <w:r>
              <w:rPr>
                <w:b w:val="false"/>
                <w:bCs w:val="false"/>
                <w:color w:val="000000"/>
                <w:sz w:val="20"/>
                <w:szCs w:val="20"/>
              </w:rPr>
              <w:t xml:space="preserve">4,71</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Localização urbana</w:t>
            </w:r>
          </w:p>
        </w:tc>
        <w:tc>
          <w:tcPr>
            <w:tcW w:type="dxa" w:w="3000"/>
            <w:tcMar>
              <w:top w:type="dxa" w:w="80"/>
              <w:left w:type="dxa" w:w="100"/>
              <w:bottom w:type="dxa" w:w="80"/>
              <w:right w:type="dxa" w:w="100"/>
            </w:tcMar>
          </w:tcPr>
          <w:p>
            <w:pPr>
              <w:jc w:val="right"/>
            </w:pPr>
            <w:r>
              <w:rPr>
                <w:b w:val="false"/>
                <w:bCs w:val="false"/>
                <w:color w:val="000000"/>
                <w:sz w:val="20"/>
                <w:szCs w:val="20"/>
              </w:rPr>
              <w:t xml:space="preserve">4,93</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Localização rural</w:t>
            </w:r>
          </w:p>
        </w:tc>
        <w:tc>
          <w:tcPr>
            <w:tcW w:type="dxa" w:w="3000"/>
            <w:tcMar>
              <w:top w:type="dxa" w:w="80"/>
              <w:left w:type="dxa" w:w="100"/>
              <w:bottom w:type="dxa" w:w="80"/>
              <w:right w:type="dxa" w:w="100"/>
            </w:tcMar>
          </w:tcPr>
          <w:p>
            <w:pPr>
              <w:jc w:val="right"/>
            </w:pPr>
            <w:r>
              <w:rPr>
                <w:b w:val="false"/>
                <w:bCs w:val="false"/>
                <w:color w:val="000000"/>
                <w:sz w:val="20"/>
                <w:szCs w:val="20"/>
              </w:rPr>
              <w:t xml:space="preserve">4,40</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Região Sul</w:t>
            </w:r>
          </w:p>
        </w:tc>
        <w:tc>
          <w:tcPr>
            <w:tcW w:type="dxa" w:w="3000"/>
            <w:tcMar>
              <w:top w:type="dxa" w:w="80"/>
              <w:left w:type="dxa" w:w="100"/>
              <w:bottom w:type="dxa" w:w="80"/>
              <w:right w:type="dxa" w:w="100"/>
            </w:tcMar>
          </w:tcPr>
          <w:p>
            <w:pPr>
              <w:jc w:val="right"/>
            </w:pPr>
            <w:r>
              <w:rPr>
                <w:b w:val="false"/>
                <w:bCs w:val="false"/>
                <w:color w:val="000000"/>
                <w:sz w:val="20"/>
                <w:szCs w:val="20"/>
              </w:rPr>
              <w:t xml:space="preserve">5,36</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Região Centro-Oeste</w:t>
            </w:r>
          </w:p>
        </w:tc>
        <w:tc>
          <w:tcPr>
            <w:tcW w:type="dxa" w:w="3000"/>
            <w:tcMar>
              <w:top w:type="dxa" w:w="80"/>
              <w:left w:type="dxa" w:w="100"/>
              <w:bottom w:type="dxa" w:w="80"/>
              <w:right w:type="dxa" w:w="100"/>
            </w:tcMar>
          </w:tcPr>
          <w:p>
            <w:pPr>
              <w:jc w:val="right"/>
            </w:pPr>
            <w:r>
              <w:rPr>
                <w:b w:val="false"/>
                <w:bCs w:val="false"/>
                <w:color w:val="000000"/>
                <w:sz w:val="20"/>
                <w:szCs w:val="20"/>
              </w:rPr>
              <w:t xml:space="preserve">5,09</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Região Sudeste</w:t>
            </w:r>
          </w:p>
        </w:tc>
        <w:tc>
          <w:tcPr>
            <w:tcW w:type="dxa" w:w="3000"/>
            <w:tcMar>
              <w:top w:type="dxa" w:w="80"/>
              <w:left w:type="dxa" w:w="100"/>
              <w:bottom w:type="dxa" w:w="80"/>
              <w:right w:type="dxa" w:w="100"/>
            </w:tcMar>
          </w:tcPr>
          <w:p>
            <w:pPr>
              <w:jc w:val="right"/>
            </w:pPr>
            <w:r>
              <w:rPr>
                <w:b w:val="false"/>
                <w:bCs w:val="false"/>
                <w:color w:val="000000"/>
                <w:sz w:val="20"/>
                <w:szCs w:val="20"/>
              </w:rPr>
              <w:t xml:space="preserve">5,09</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Região Norte</w:t>
            </w:r>
          </w:p>
        </w:tc>
        <w:tc>
          <w:tcPr>
            <w:tcW w:type="dxa" w:w="3000"/>
            <w:tcMar>
              <w:top w:type="dxa" w:w="80"/>
              <w:left w:type="dxa" w:w="100"/>
              <w:bottom w:type="dxa" w:w="80"/>
              <w:right w:type="dxa" w:w="100"/>
            </w:tcMar>
          </w:tcPr>
          <w:p>
            <w:pPr>
              <w:jc w:val="right"/>
            </w:pPr>
            <w:r>
              <w:rPr>
                <w:b w:val="false"/>
                <w:bCs w:val="false"/>
                <w:color w:val="000000"/>
                <w:sz w:val="20"/>
                <w:szCs w:val="20"/>
              </w:rPr>
              <w:t xml:space="preserve">4,39</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Região Nordeste</w:t>
            </w:r>
          </w:p>
        </w:tc>
        <w:tc>
          <w:tcPr>
            <w:tcW w:type="dxa" w:w="3000"/>
            <w:tcMar>
              <w:top w:type="dxa" w:w="80"/>
              <w:left w:type="dxa" w:w="100"/>
              <w:bottom w:type="dxa" w:w="80"/>
              <w:right w:type="dxa" w:w="100"/>
            </w:tcMar>
          </w:tcPr>
          <w:p>
            <w:pPr>
              <w:jc w:val="right"/>
            </w:pPr>
            <w:r>
              <w:rPr>
                <w:b w:val="false"/>
                <w:bCs w:val="false"/>
                <w:color w:val="000000"/>
                <w:sz w:val="20"/>
                <w:szCs w:val="20"/>
              </w:rPr>
              <w:t xml:space="preserve">4,36</w:t>
            </w:r>
          </w:p>
        </w:tc>
      </w:tr>
    </w:tbl>
    <w:p>
      <w:pPr>
        <w:spacing w:after="160"/>
      </w:pPr>
    </w:p>
    <w:p>
      <w:pPr>
        <w:spacing w:after="160"/>
      </w:pPr>
      <w:r>
        <w:t xml:space="preserve">O padrão geográfico do INSE — Sul e Centro-Oeste/Sudeste à frente, Norte e Nordeste atrás — repete o mesmo ranking já visto no Ideb (Seção 6) e no índice de infraestrutura geral (Seção 8.4). Essa sobreposição entre os três rankings regionais é justamente o tipo de sinal que motiva o cuidado metodológico descrito na proposta: quando desempenho, infraestrutura e contexto socioeconômico variam juntos pela mesma geografia, uma correlação simples entre apenas dois deles tende a superestimar o efeito de um sobre o outro.</w:t>
      </w:r>
    </w:p>
    <w:p>
      <w:pPr>
        <w:pStyle w:val="Heading2"/>
        <w:spacing w:after="120" w:before="240"/>
      </w:pPr>
      <w:r>
        <w:t xml:space="preserve">9.3 O INSE como variável de contexto: comparando forças de associação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0"/>
        <w:gridCol w:w="2800"/>
      </w:tblGrid>
      <w:tr>
        <w:trPr>
          <w:tblHeader/>
        </w:trPr>
        <w:tc>
          <w:tcPr>
            <w:tcW w:type="dxa" w:w="6000"/>
            <w:shd w:fill="1F4E79" w:val="clear"/>
            <w:tcMar>
              <w:top w:type="dxa" w:w="80"/>
              <w:left w:type="dxa" w:w="100"/>
              <w:bottom w:type="dxa" w:w="80"/>
              <w:right w:type="dxa" w:w="100"/>
            </w:tcMar>
          </w:tcPr>
          <w:p>
            <w:pPr>
              <w:jc w:val="left"/>
            </w:pPr>
            <w:r>
              <w:rPr>
                <w:b/>
                <w:bCs/>
                <w:color w:val="FFFFFF"/>
                <w:sz w:val="20"/>
                <w:szCs w:val="20"/>
              </w:rPr>
              <w:t xml:space="preserve">Par de variáveis</w:t>
            </w:r>
          </w:p>
        </w:tc>
        <w:tc>
          <w:tcPr>
            <w:tcW w:type="dxa" w:w="2800"/>
            <w:shd w:fill="1F4E79" w:val="clear"/>
            <w:tcMar>
              <w:top w:type="dxa" w:w="80"/>
              <w:left w:type="dxa" w:w="100"/>
              <w:bottom w:type="dxa" w:w="80"/>
              <w:right w:type="dxa" w:w="100"/>
            </w:tcMar>
          </w:tcPr>
          <w:p>
            <w:pPr>
              <w:jc w:val="left"/>
            </w:pPr>
            <w:r>
              <w:rPr>
                <w:b/>
                <w:bCs/>
                <w:color w:val="FFFFFF"/>
                <w:sz w:val="20"/>
                <w:szCs w:val="20"/>
              </w:rPr>
              <w:t xml:space="preserve">Coeficiente (Pearson)</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Ideb × INSE</w:t>
            </w:r>
          </w:p>
        </w:tc>
        <w:tc>
          <w:tcPr>
            <w:tcW w:type="dxa" w:w="2800"/>
            <w:tcMar>
              <w:top w:type="dxa" w:w="80"/>
              <w:left w:type="dxa" w:w="100"/>
              <w:bottom w:type="dxa" w:w="80"/>
              <w:right w:type="dxa" w:w="100"/>
            </w:tcMar>
          </w:tcPr>
          <w:p>
            <w:pPr>
              <w:jc w:val="right"/>
            </w:pPr>
            <w:r>
              <w:rPr>
                <w:b w:val="false"/>
                <w:bCs w:val="false"/>
                <w:color w:val="000000"/>
                <w:sz w:val="20"/>
                <w:szCs w:val="20"/>
              </w:rPr>
              <w:t xml:space="preserve">0,349</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Ideb × índice de infraestrutura geral (Seção 8.3)</w:t>
            </w:r>
          </w:p>
        </w:tc>
        <w:tc>
          <w:tcPr>
            <w:tcW w:type="dxa" w:w="2800"/>
            <w:tcMar>
              <w:top w:type="dxa" w:w="80"/>
              <w:left w:type="dxa" w:w="100"/>
              <w:bottom w:type="dxa" w:w="80"/>
              <w:right w:type="dxa" w:w="100"/>
            </w:tcMar>
          </w:tcPr>
          <w:p>
            <w:pPr>
              <w:jc w:val="right"/>
            </w:pPr>
            <w:r>
              <w:rPr>
                <w:b w:val="false"/>
                <w:bCs w:val="false"/>
                <w:color w:val="000000"/>
                <w:sz w:val="20"/>
                <w:szCs w:val="20"/>
              </w:rPr>
              <w:t xml:space="preserve">0,175</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Ideb × acesso à internet (Seção 7.2)</w:t>
            </w:r>
          </w:p>
        </w:tc>
        <w:tc>
          <w:tcPr>
            <w:tcW w:type="dxa" w:w="2800"/>
            <w:tcMar>
              <w:top w:type="dxa" w:w="80"/>
              <w:left w:type="dxa" w:w="100"/>
              <w:bottom w:type="dxa" w:w="80"/>
              <w:right w:type="dxa" w:w="100"/>
            </w:tcMar>
          </w:tcPr>
          <w:p>
            <w:pPr>
              <w:jc w:val="right"/>
            </w:pPr>
            <w:r>
              <w:rPr>
                <w:b w:val="false"/>
                <w:bCs w:val="false"/>
                <w:color w:val="000000"/>
                <w:sz w:val="20"/>
                <w:szCs w:val="20"/>
              </w:rPr>
              <w:t xml:space="preserve">0,103</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INSE × índice de infraestrutura geral</w:t>
            </w:r>
          </w:p>
        </w:tc>
        <w:tc>
          <w:tcPr>
            <w:tcW w:type="dxa" w:w="2800"/>
            <w:tcMar>
              <w:top w:type="dxa" w:w="80"/>
              <w:left w:type="dxa" w:w="100"/>
              <w:bottom w:type="dxa" w:w="80"/>
              <w:right w:type="dxa" w:w="100"/>
            </w:tcMar>
          </w:tcPr>
          <w:p>
            <w:pPr>
              <w:jc w:val="right"/>
            </w:pPr>
            <w:r>
              <w:rPr>
                <w:b w:val="false"/>
                <w:bCs w:val="false"/>
                <w:color w:val="000000"/>
                <w:sz w:val="20"/>
                <w:szCs w:val="20"/>
              </w:rPr>
              <w:t xml:space="preserve">0,486</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INSE × acesso à internet</w:t>
            </w:r>
          </w:p>
        </w:tc>
        <w:tc>
          <w:tcPr>
            <w:tcW w:type="dxa" w:w="2800"/>
            <w:tcMar>
              <w:top w:type="dxa" w:w="80"/>
              <w:left w:type="dxa" w:w="100"/>
              <w:bottom w:type="dxa" w:w="80"/>
              <w:right w:type="dxa" w:w="100"/>
            </w:tcMar>
          </w:tcPr>
          <w:p>
            <w:pPr>
              <w:jc w:val="right"/>
            </w:pPr>
            <w:r>
              <w:rPr>
                <w:b w:val="false"/>
                <w:bCs w:val="false"/>
                <w:color w:val="000000"/>
                <w:sz w:val="20"/>
                <w:szCs w:val="20"/>
              </w:rPr>
              <w:t xml:space="preserve">0,150</w:t>
            </w:r>
          </w:p>
        </w:tc>
      </w:tr>
      <w:tr>
        <w:tc>
          <w:tcPr>
            <w:tcW w:type="dxa" w:w="6000"/>
            <w:tcMar>
              <w:top w:type="dxa" w:w="80"/>
              <w:left w:type="dxa" w:w="100"/>
              <w:bottom w:type="dxa" w:w="80"/>
              <w:right w:type="dxa" w:w="100"/>
            </w:tcMar>
          </w:tcPr>
          <w:p>
            <w:pPr>
              <w:jc w:val="left"/>
            </w:pPr>
            <w:r>
              <w:rPr>
                <w:b w:val="false"/>
                <w:bCs w:val="false"/>
                <w:color w:val="000000"/>
                <w:sz w:val="20"/>
                <w:szCs w:val="20"/>
              </w:rPr>
              <w:t xml:space="preserve">INSE × computadores por aluno</w:t>
            </w:r>
          </w:p>
        </w:tc>
        <w:tc>
          <w:tcPr>
            <w:tcW w:type="dxa" w:w="2800"/>
            <w:tcMar>
              <w:top w:type="dxa" w:w="80"/>
              <w:left w:type="dxa" w:w="100"/>
              <w:bottom w:type="dxa" w:w="80"/>
              <w:right w:type="dxa" w:w="100"/>
            </w:tcMar>
          </w:tcPr>
          <w:p>
            <w:pPr>
              <w:jc w:val="right"/>
            </w:pPr>
            <w:r>
              <w:rPr>
                <w:b w:val="false"/>
                <w:bCs w:val="false"/>
                <w:color w:val="000000"/>
                <w:sz w:val="20"/>
                <w:szCs w:val="20"/>
              </w:rPr>
              <w:t xml:space="preserve">0,011</w:t>
            </w:r>
          </w:p>
        </w:tc>
      </w:tr>
    </w:tbl>
    <w:p>
      <w:pPr>
        <w:spacing w:after="160"/>
      </w:pPr>
    </w:p>
    <w:p>
      <w:pPr>
        <w:spacing w:after="160"/>
      </w:pPr>
      <w:r>
        <w:t xml:space="preserve">Este é o resultado mais relevante para justificar a arquitetura do dashboard: o INSE se associa ao Ideb (r = 0,349) muito mais fortemente do que qualquer variável de infraestrutura isolada, tecnológica ou não (r entre 0,01 e 0,18 nas seções anteriores). Ao mesmo tempo, o INSE também se associa fortemente ao próprio índice de infraestrutura geral (r = 0,486) — ou seja, escolas com alunos de nível socioeconômico mais alto tendem a ter mais infraestrutura, e é exatamente essa sobreposição que gera o efeito de confundimento descrito na proposta (Seção 4.1): parte da correlação bruta entre infraestrutura e Ideb, vista nas Seções 7 e 8, provavelmente reflete o nível socioeconômico por trás dela, não um efeito direto da infraestrutura. Com o INSE agora na base, o dashboard poderá oferecer o controle que a proposta já previa — comparar Ideb e infraestrutura apenas entre escolas de INSE semelhante — em vez de depender só de comparações por rede e região.</w:t>
      </w:r>
    </w:p>
    <w:p>
      <w:pPr>
        <w:pStyle w:val="Heading1"/>
        <w:spacing w:after="160" w:before="320"/>
      </w:pPr>
      <w:r>
        <w:t xml:space="preserve">10. Observações sobre Qualidade dos Dados</w:t>
      </w:r>
    </w:p>
    <w:p>
      <w:pPr>
        <w:pStyle w:val="ListParagraph"/>
        <w:numPr>
          <w:ilvl w:val="0"/>
          <w:numId w:val="1"/>
        </w:numPr>
        <w:spacing w:after="80"/>
      </w:pPr>
      <w:r>
        <w:t xml:space="preserve">Outliers em computadores_por_aluno: um pequeno número de escolas (7 registros com valor &gt; 5, incluindo um caso extremo de ~11.111) resulta de matrículas muito pequenas (QT_MAT_BAS baixo) combinadas com uma contagem de desktops aparentemente desproporcional. Recomenda-se tratar como outlier/erro de preenchimento e não incluir no eixo X sem winsorização ou filtro de matrícula mínima.</w:t>
      </w:r>
    </w:p>
    <w:p>
      <w:pPr>
        <w:pStyle w:val="ListParagraph"/>
        <w:numPr>
          <w:ilvl w:val="0"/>
          <w:numId w:val="1"/>
        </w:numPr>
        <w:spacing w:after="80"/>
      </w:pPr>
      <w:r>
        <w:t xml:space="preserve">Ausência de Ideb (~14% a 31% conforme a etapa): decorre majoritariamente de sigilo estatístico em escolas pequenas — o próprio Inep não calcula/divulga o indicador nesses casos, o que é consistente com o ponto de "ruído em escolas pequenas" já levantado na proposta.</w:t>
      </w:r>
    </w:p>
    <w:p>
      <w:pPr>
        <w:pStyle w:val="ListParagraph"/>
        <w:numPr>
          <w:ilvl w:val="0"/>
          <w:numId w:val="1"/>
        </w:numPr>
        <w:spacing w:after="80"/>
      </w:pPr>
      <w:r>
        <w:t xml:space="preserve">Ausência de INSE (9,0% das escolas): pelo mesmo motivo do Ideb — amostra insuficiente de respondentes no questionário do Saeb 2023 em escolas pequenas. As análises que cruzarem INSE com Ideb devem considerar essa perda adicional de cobertura.</w:t>
      </w:r>
    </w:p>
    <w:p>
      <w:pPr>
        <w:pStyle w:val="ListParagraph"/>
        <w:numPr>
          <w:ilvl w:val="0"/>
          <w:numId w:val="1"/>
        </w:numPr>
        <w:spacing w:after="80"/>
      </w:pPr>
      <w:r>
        <w:t xml:space="preserve">Escala do Ideb: os valores variam de 0,8 a 10,0 neste recorte, dentro da escala oficial de 0 a 10. O INSE varia de 2,35 a 6,65, dentro da escala oficial do indicador.</w:t>
      </w:r>
    </w:p>
    <w:p>
      <w:pPr>
        <w:pStyle w:val="ListParagraph"/>
        <w:numPr>
          <w:ilvl w:val="0"/>
          <w:numId w:val="1"/>
        </w:numPr>
        <w:spacing w:after="80"/>
      </w:pPr>
      <w:r>
        <w:t xml:space="preserve">Ausência de nulos na infraestrutura geral: diferentemente do Ideb e do INSE, as 15 colunas de infraestrutura básica/física não apresentaram valores ausentes na base final — todas as escolas em atividade respondem a esses itens no Censo Escolar.</w:t>
      </w:r>
    </w:p>
    <w:p>
      <w:pPr>
        <w:pStyle w:val="ListParagraph"/>
        <w:numPr>
          <w:ilvl w:val="0"/>
          <w:numId w:val="1"/>
        </w:numPr>
        <w:spacing w:after="80"/>
      </w:pPr>
      <w:r>
        <w:t xml:space="preserve">Defasagem temporal do INSE (2023 vs. 2025): tratada na Seção 2.3.1 — é uma limitação conhecida, aceita por ser a edição mais recente disponível, e mitigada pelo uso do INSE como variável de contexto, não como componente do cálculo do Ideb.</w:t>
      </w:r>
    </w:p>
    <w:p>
      <w:pPr>
        <w:pStyle w:val="ListParagraph"/>
        <w:numPr>
          <w:ilvl w:val="0"/>
          <w:numId w:val="1"/>
        </w:numPr>
        <w:spacing w:after="80"/>
      </w:pPr>
      <w:r>
        <w:t xml:space="preserve">Correlações simples não implicam causalidade: como já registrado na proposta (Seção 4.1), as correlações desta análise — entre Ideb, infraestrutura e INSE — são associações brutas, sem controle simultâneo por todas as demais variáveis. O próprio propósito do dashboard proposto é permitir esse controle de forma visual e interativa, cruzando infraestrutura e desempenho dentro de faixas semelhantes de INSE.</w:t>
      </w:r>
    </w:p>
    <w:p>
      <w:pPr>
        <w:pBdr>
          <w:bottom w:val="single" w:color="AAAAAA" w:sz="6" w:space="1"/>
        </w:pBdr>
        <w:spacing w:after="200"/>
      </w:pPr>
    </w:p>
    <w:p>
      <w:r>
        <w:rPr>
          <w:i/>
          <w:iCs/>
          <w:color w:val="777777"/>
          <w:sz w:val="18"/>
          <w:szCs w:val="18"/>
        </w:rPr>
        <w:t xml:space="preserve">Arquivo de origem: escolas_ideb_infra_2025.csv (127.395 linhas × 56 colunas) — gerado por etl.py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2026-09-22T14:26:35.793Z</dcterms:created>
  <dcterms:modified xsi:type="dcterms:W3CDTF">2026-09-22T14:26:35.793Z</dcterms:modified>
</cp:coreProperties>
</file>

<file path=docProps/custom.xml><?xml version="1.0" encoding="utf-8"?>
<Properties xmlns="http://schemas.openxmlformats.org/officeDocument/2006/custom-properties" xmlns:vt="http://schemas.openxmlformats.org/officeDocument/2006/docPropsVTypes"/>
</file>