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ESCUELA MILITAR DE INGENIERÍA</w:t>
      </w:r>
    </w:p>
    <w:p>
      <w:pPr>
        <w:pStyle w:val="Subtitle"/>
      </w:pPr>
      <w:r>
        <w:t>Mcal. Antonio José de Sucre</w:t>
        <w:br/>
        <w:t>Unidad Académica La Paz</w:t>
      </w:r>
    </w:p>
    <w:p>
      <w:r>
        <w:br/>
      </w:r>
    </w:p>
    <w:p>
      <w:pPr>
        <w:pStyle w:val="Title"/>
      </w:pPr>
      <w:r>
        <w:t>Documentación técnica del sistema NEXO PARK</w:t>
      </w:r>
    </w:p>
    <w:p>
      <w:pPr>
        <w:pStyle w:val="Subtitle"/>
      </w:pPr>
      <w:r>
        <w:t>Nueve módulos y siete actores</w:t>
      </w:r>
    </w:p>
    <w:p>
      <w:r>
        <w:t>Sistema de gestión de parqueos mediante visión artificial e Internet de las cosas</w:t>
      </w:r>
    </w:p>
    <w:p>
      <w:r>
        <w:t>Evolución del proyecto PARKIA</w:t>
        <w:br/>
        <w:t>Versión 30 · Octubre de 2026</w:t>
      </w:r>
    </w:p>
    <w:p>
      <w:pPr>
        <w:pStyle w:val="Heading2"/>
      </w:pPr>
      <w:r>
        <w:t>Integrantes</w:t>
      </w:r>
    </w:p>
    <w:p>
      <w:r>
        <w:t>Tte. Ing. Iván Loza Condori</w:t>
      </w:r>
    </w:p>
    <w:p>
      <w:r>
        <w:t>Est. Hedd Jhon Gutierrez Vaca</w:t>
      </w:r>
    </w:p>
    <w:p>
      <w:r>
        <w:t>Est. Miguel Fernandez Oporto</w:t>
      </w:r>
    </w:p>
    <w:p>
      <w:r>
        <w:t>Est. Carlos Javier Alanoca Siles</w:t>
      </w:r>
    </w:p>
    <w:p>
      <w:r>
        <w:t>La Paz · Bolivia</w:t>
        <w:br/>
        <w:t>12 de octubre de 2026</w:t>
      </w:r>
    </w:p>
    <w:p>
      <w:r>
        <w:br w:type="page"/>
      </w:r>
    </w:p>
    <w:p>
      <w:pPr>
        <w:pStyle w:val="Heading1"/>
      </w:pPr>
      <w:r>
        <w:t>1 Propósito y alcance</w:t>
      </w:r>
    </w:p>
    <w:p>
      <w:r>
        <w:t>NEXO PARK integra la consulta de disponibilidad, la administración del parqueo y la trazabilidad de accesos de la EMI UALP. La versión 30 conserva los nueve módulos aprobados y reorganiza sus componentes físicos en frontend y backend. La identidad visual reemplaza la presentación de PARKIA y mantiene compatibilidad con sus rutas, tablas y datos existentes.</w:t>
      </w:r>
    </w:p>
    <w:p>
      <w:r>
        <w:t>La solución está orientada al trabajo académico y a su posterior validación en el campus. El funcionamiento de la interfaz, las sesiones y los reportes puede comprobarse con datos de demostración. La detección visual y el enlace con dispositivos físicos requieren pruebas de campo independientes.</w:t>
      </w:r>
    </w:p>
    <w:p>
      <w:pPr>
        <w:pStyle w:val="Heading2"/>
      </w:pPr>
      <w:r>
        <w:t>Problema y objetivo</w:t>
      </w:r>
    </w:p>
    <w:p>
      <w:r>
        <w:t>La dispersión de registros vehiculares, consultas de disponibilidad y seguimiento de incidentes dificulta conocer el estado del parqueo y reconstruir una operación. El objetivo es reunir esas tareas en una aplicación con responsabilidades diferenciadas, evidencias identificables y acceso limitado por perfil.</w:t>
      </w:r>
    </w:p>
    <w:p>
      <w:pPr>
        <w:pStyle w:val="Heading2"/>
      </w:pPr>
      <w:r>
        <w:t>Alcance funcional</w:t>
      </w:r>
    </w:p>
    <w:p>
      <w:pPr>
        <w:pStyle w:val="ListBullet"/>
      </w:pPr>
      <w:r>
        <w:t>Administración de cuentas, propietarios, vehículos, autorizaciones, lugares y dispositivos.</w:t>
      </w:r>
    </w:p>
    <w:p>
      <w:pPr>
        <w:pStyle w:val="ListBullet"/>
      </w:pPr>
      <w:r>
        <w:t>Control de ingreso y salida, consulta de historial propio o institucional según permiso y seguimiento de incidentes.</w:t>
      </w:r>
    </w:p>
    <w:p>
      <w:pPr>
        <w:pStyle w:val="ListBullet"/>
      </w:pPr>
      <w:r>
        <w:t>Indicadores, previsualización PDF, descarga del documento generado y exportación CSV.</w:t>
      </w:r>
    </w:p>
    <w:p>
      <w:pPr>
        <w:pStyle w:val="ListBullet"/>
      </w:pPr>
      <w:r>
        <w:t>Auditoría, gestión condicionada de respaldos y consulta adaptable a dispositivos móviles.</w:t>
      </w:r>
    </w:p>
    <w:p>
      <w:pPr>
        <w:pStyle w:val="Heading2"/>
      </w:pPr>
      <w:r>
        <w:t>Organización de esta entrega</w:t>
      </w:r>
    </w:p>
    <w:tbl>
      <w:tblPr>
        <w:tblW w:type="auto" w:w="0"/>
        <w:tblLayout w:type="fixed"/>
        <w:tblLook w:firstColumn="1" w:firstRow="1" w:lastColumn="0" w:lastRow="0" w:noHBand="0" w:noVBand="1" w:val="04A0"/>
      </w:tblPr>
      <w:tblGrid>
        <w:gridCol w:w="2448"/>
        <w:gridCol w:w="7632"/>
      </w:tblGrid>
      <w:tr>
        <w:trPr>
          <w:cantSplit/>
          <w:tblHeader/>
        </w:trPr>
        <w:tc>
          <w:tcPr>
            <w:tcW w:type="dxa" w:w="2448"/>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Entregable</w:t>
            </w:r>
          </w:p>
        </w:tc>
        <w:tc>
          <w:tcPr>
            <w:tcW w:type="dxa" w:w="7632"/>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Contenido</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Proyecto completo</w:t>
            </w:r>
          </w:p>
        </w:tc>
        <w:tc>
          <w:tcPr>
            <w:tcW w:type="dxa" w:w="763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Frontend, backend, SQL, pruebas, configuración y guías.</w:t>
            </w:r>
          </w:p>
        </w:tc>
      </w:tr>
      <w:tr>
        <w:trPr>
          <w:cantSplit/>
        </w:trPr>
        <w:tc>
          <w:tcPr>
            <w:tcW w:type="dxa" w:w="244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Casos de uso</w:t>
            </w:r>
          </w:p>
        </w:tc>
        <w:tc>
          <w:tcPr>
            <w:tcW w:type="dxa" w:w="763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Nueve casos principales con flujos, alternativas y aceptación.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Modelo de datos</w:t>
            </w:r>
          </w:p>
        </w:tc>
        <w:tc>
          <w:tcPr>
            <w:tcW w:type="dxa" w:w="763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21 tablas, 185 campos y 31 claves foráneas.</w:t>
            </w:r>
          </w:p>
        </w:tc>
      </w:tr>
      <w:tr>
        <w:trPr>
          <w:cantSplit/>
        </w:trPr>
        <w:tc>
          <w:tcPr>
            <w:tcW w:type="dxa" w:w="244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Diccionario Excel</w:t>
            </w:r>
          </w:p>
        </w:tc>
        <w:tc>
          <w:tcPr>
            <w:tcW w:type="dxa" w:w="763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Campos, relaciones y restricciones del esquema ejecutado.</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Diagramas Dia</w:t>
            </w:r>
          </w:p>
        </w:tc>
        <w:tc>
          <w:tcPr>
            <w:tcW w:type="dxa" w:w="763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Modelo general y cuatro vistas por dominio, editables.</w:t>
            </w:r>
          </w:p>
        </w:tc>
      </w:tr>
    </w:tbl>
    <w:p>
      <w:pPr>
        <w:spacing w:after="40"/>
      </w:pPr>
    </w:p>
    <w:p>
      <w:r>
        <w:br w:type="page"/>
      </w:r>
    </w:p>
    <w:p>
      <w:pPr>
        <w:pStyle w:val="Heading1"/>
      </w:pPr>
      <w:r>
        <w:t>2 Actores y autorizaciones</w:t>
      </w:r>
    </w:p>
    <w:p>
      <w:r>
        <w:t>La autenticación identifica automáticamente el rol de la cuenta. El menú presenta las funciones autorizadas y cada petición vuelve a verificarse en el servidor. Ocultar un enlace no sustituye el control de acceso de la API.</w:t>
      </w:r>
    </w:p>
    <w:tbl>
      <w:tblPr>
        <w:tblW w:type="auto" w:w="0"/>
        <w:tblLayout w:type="fixed"/>
        <w:tblLook w:firstColumn="1" w:firstRow="1" w:lastColumn="0" w:lastRow="0" w:noHBand="0" w:noVBand="1" w:val="04A0"/>
      </w:tblPr>
      <w:tblGrid>
        <w:gridCol w:w="2160"/>
        <w:gridCol w:w="7920"/>
      </w:tblGrid>
      <w:tr>
        <w:trPr>
          <w:cantSplit/>
          <w:tblHeader/>
        </w:trPr>
        <w:tc>
          <w:tcPr>
            <w:tcW w:type="dxa" w:w="2160"/>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Actor</w:t>
            </w:r>
          </w:p>
        </w:tc>
        <w:tc>
          <w:tcPr>
            <w:tcW w:type="dxa" w:w="7920"/>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Responsabilidad</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Administrador</w:t>
            </w:r>
          </w:p>
        </w:tc>
        <w:tc>
          <w:tcPr>
            <w:tcW w:type="dxa" w:w="7920"/>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Gestión integral y administración de privilegios.</w:t>
            </w:r>
          </w:p>
        </w:tc>
      </w:tr>
      <w:tr>
        <w:trPr>
          <w:cantSplit/>
        </w:trPr>
        <w:tc>
          <w:tcPr>
            <w:tcW w:type="dxa" w:w="2160"/>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Operadores</w:t>
            </w:r>
          </w:p>
        </w:tc>
        <w:tc>
          <w:tcPr>
            <w:tcW w:type="dxa" w:w="7920"/>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Operación vehicular, propietarios, plazas, accesos e incidentes.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Soporte</w:t>
            </w:r>
          </w:p>
        </w:tc>
        <w:tc>
          <w:tcPr>
            <w:tcW w:type="dxa" w:w="7920"/>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Cuentas, infraestructura técnica, auditoría y continuidad.</w:t>
            </w:r>
          </w:p>
        </w:tc>
      </w:tr>
      <w:tr>
        <w:trPr>
          <w:cantSplit/>
        </w:trPr>
        <w:tc>
          <w:tcPr>
            <w:tcW w:type="dxa" w:w="2160"/>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Recursos Humanos</w:t>
            </w:r>
          </w:p>
        </w:tc>
        <w:tc>
          <w:tcPr>
            <w:tcW w:type="dxa" w:w="7920"/>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Cuentas y propietarios; consultas vehiculares, historial e informes.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Director</w:t>
            </w:r>
          </w:p>
        </w:tc>
        <w:tc>
          <w:tcPr>
            <w:tcW w:type="dxa" w:w="7920"/>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Supervisión, informes, alertas, historial y auditoría de consulta.</w:t>
            </w:r>
          </w:p>
        </w:tc>
      </w:tr>
      <w:tr>
        <w:trPr>
          <w:cantSplit/>
        </w:trPr>
        <w:tc>
          <w:tcPr>
            <w:tcW w:type="dxa" w:w="2160"/>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Guardia</w:t>
            </w:r>
          </w:p>
        </w:tc>
        <w:tc>
          <w:tcPr>
            <w:tcW w:type="dxa" w:w="7920"/>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Consulta vehicular y de lugares; operación de accesos y atención de alertas.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Propietario</w:t>
            </w:r>
          </w:p>
        </w:tc>
        <w:tc>
          <w:tcPr>
            <w:tcW w:type="dxa" w:w="7920"/>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Estudiante o docente. Consulta su zona y sus movimientos vehiculares.</w:t>
            </w:r>
          </w:p>
        </w:tc>
      </w:tr>
    </w:tbl>
    <w:p>
      <w:pPr>
        <w:spacing w:after="40"/>
      </w:pPr>
    </w:p>
    <w:p>
      <w:r>
        <w:t>Propietario no es una categoría de autoridad o administrativo. Las categorías de zona y vehículo son clasificaciones operativas, no nuevos actores. El sistema conserva solo siete roles activos; los códigos históricos quedan inactivos para preservar la integridad referencial.</w:t>
      </w:r>
    </w:p>
    <w:p>
      <w:pPr>
        <w:pStyle w:val="Heading2"/>
      </w:pPr>
      <w:r>
        <w:t>Matriz de acceso por módulo</w:t>
      </w:r>
    </w:p>
    <w:tbl>
      <w:tblPr>
        <w:tblW w:type="auto" w:w="0"/>
        <w:tblLayout w:type="fixed"/>
        <w:tblLook w:firstColumn="1" w:firstRow="1" w:lastColumn="0" w:lastRow="0" w:noHBand="0" w:noVBand="1" w:val="04A0"/>
      </w:tblPr>
      <w:tblGrid>
        <w:gridCol w:w="3744"/>
        <w:gridCol w:w="792"/>
        <w:gridCol w:w="792"/>
        <w:gridCol w:w="792"/>
        <w:gridCol w:w="1008"/>
        <w:gridCol w:w="792"/>
        <w:gridCol w:w="792"/>
        <w:gridCol w:w="1368"/>
      </w:tblGrid>
      <w:tr>
        <w:trPr>
          <w:cantSplit/>
          <w:tblHeader/>
        </w:trPr>
        <w:tc>
          <w:tcPr>
            <w:tcW w:type="dxa" w:w="3744"/>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Módulo</w:t>
            </w:r>
          </w:p>
        </w:tc>
        <w:tc>
          <w:tcPr>
            <w:tcW w:type="dxa" w:w="792"/>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Adm</w:t>
            </w:r>
          </w:p>
        </w:tc>
        <w:tc>
          <w:tcPr>
            <w:tcW w:type="dxa" w:w="792"/>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Ope</w:t>
            </w:r>
          </w:p>
        </w:tc>
        <w:tc>
          <w:tcPr>
            <w:tcW w:type="dxa" w:w="792"/>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Sop</w:t>
            </w:r>
          </w:p>
        </w:tc>
        <w:tc>
          <w:tcPr>
            <w:tcW w:type="dxa" w:w="1008"/>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RRHH</w:t>
            </w:r>
          </w:p>
        </w:tc>
        <w:tc>
          <w:tcPr>
            <w:tcW w:type="dxa" w:w="792"/>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Dir</w:t>
            </w:r>
          </w:p>
        </w:tc>
        <w:tc>
          <w:tcPr>
            <w:tcW w:type="dxa" w:w="792"/>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Gua</w:t>
            </w:r>
          </w:p>
        </w:tc>
        <w:tc>
          <w:tcPr>
            <w:tcW w:type="dxa" w:w="1368"/>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Prop</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1 Gestión de usuarios</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G</w:t>
            </w:r>
          </w:p>
        </w:tc>
        <w:tc>
          <w:tcPr>
            <w:tcW w:type="dxa" w:w="100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w:t>
            </w:r>
          </w:p>
        </w:tc>
        <w:tc>
          <w:tcPr>
            <w:tcW w:type="dxa" w:w="136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w:t>
            </w:r>
          </w:p>
        </w:tc>
      </w:tr>
      <w:tr>
        <w:trPr>
          <w:cantSplit/>
        </w:trPr>
        <w:tc>
          <w:tcPr>
            <w:tcW w:type="dxa" w:w="3744"/>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2 Informes y reportes</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w:t>
            </w:r>
          </w:p>
        </w:tc>
        <w:tc>
          <w:tcPr>
            <w:tcW w:type="dxa" w:w="100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G</w:t>
            </w:r>
          </w:p>
        </w:tc>
        <w:tc>
          <w:tcPr>
            <w:tcW w:type="dxa" w:w="136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3 Registro de propietarios</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C</w:t>
            </w:r>
          </w:p>
        </w:tc>
        <w:tc>
          <w:tcPr>
            <w:tcW w:type="dxa" w:w="100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w:t>
            </w:r>
          </w:p>
        </w:tc>
        <w:tc>
          <w:tcPr>
            <w:tcW w:type="dxa" w:w="136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w:t>
            </w:r>
          </w:p>
        </w:tc>
      </w:tr>
      <w:tr>
        <w:trPr>
          <w:cantSplit/>
        </w:trPr>
        <w:tc>
          <w:tcPr>
            <w:tcW w:type="dxa" w:w="3744"/>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4 Registro de vehículos</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w:t>
            </w:r>
          </w:p>
        </w:tc>
        <w:tc>
          <w:tcPr>
            <w:tcW w:type="dxa" w:w="100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C</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C</w:t>
            </w:r>
          </w:p>
        </w:tc>
        <w:tc>
          <w:tcPr>
            <w:tcW w:type="dxa" w:w="136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5 Gestión de lugares y clasificación</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G</w:t>
            </w:r>
          </w:p>
        </w:tc>
        <w:tc>
          <w:tcPr>
            <w:tcW w:type="dxa" w:w="100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C</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C</w:t>
            </w:r>
          </w:p>
        </w:tc>
        <w:tc>
          <w:tcPr>
            <w:tcW w:type="dxa" w:w="136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w:t>
            </w:r>
          </w:p>
        </w:tc>
      </w:tr>
      <w:tr>
        <w:trPr>
          <w:cantSplit/>
        </w:trPr>
        <w:tc>
          <w:tcPr>
            <w:tcW w:type="dxa" w:w="3744"/>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6 Control de ingreso y salida</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H</w:t>
            </w:r>
          </w:p>
        </w:tc>
        <w:tc>
          <w:tcPr>
            <w:tcW w:type="dxa" w:w="100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H</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H</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G</w:t>
            </w:r>
          </w:p>
        </w:tc>
        <w:tc>
          <w:tcPr>
            <w:tcW w:type="dxa" w:w="136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P</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7 Alertas y notificaciones</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G</w:t>
            </w:r>
          </w:p>
        </w:tc>
        <w:tc>
          <w:tcPr>
            <w:tcW w:type="dxa" w:w="100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C</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G</w:t>
            </w:r>
          </w:p>
        </w:tc>
        <w:tc>
          <w:tcPr>
            <w:tcW w:type="dxa" w:w="136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w:t>
            </w:r>
          </w:p>
        </w:tc>
      </w:tr>
      <w:tr>
        <w:trPr>
          <w:cantSplit/>
        </w:trPr>
        <w:tc>
          <w:tcPr>
            <w:tcW w:type="dxa" w:w="3744"/>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8 Auditoría y control</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G</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G</w:t>
            </w:r>
          </w:p>
        </w:tc>
        <w:tc>
          <w:tcPr>
            <w:tcW w:type="dxa" w:w="100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C</w:t>
            </w:r>
          </w:p>
        </w:tc>
        <w:tc>
          <w:tcPr>
            <w:tcW w:type="dxa" w:w="7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w:t>
            </w:r>
          </w:p>
        </w:tc>
        <w:tc>
          <w:tcPr>
            <w:tcW w:type="dxa" w:w="136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w:t>
            </w:r>
          </w:p>
        </w:tc>
      </w:tr>
      <w:tr>
        <w:trPr>
          <w:cantSplit/>
        </w:trPr>
        <w:tc>
          <w:tcPr>
            <w:tcW w:type="dxa" w:w="3744"/>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9 Componente móvil</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A</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A</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A</w:t>
            </w:r>
          </w:p>
        </w:tc>
        <w:tc>
          <w:tcPr>
            <w:tcW w:type="dxa" w:w="100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A</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A</w:t>
            </w:r>
          </w:p>
        </w:tc>
        <w:tc>
          <w:tcPr>
            <w:tcW w:type="dxa" w:w="7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A</w:t>
            </w:r>
          </w:p>
        </w:tc>
        <w:tc>
          <w:tcPr>
            <w:tcW w:type="dxa" w:w="136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A</w:t>
            </w:r>
          </w:p>
        </w:tc>
      </w:tr>
    </w:tbl>
    <w:p>
      <w:pPr>
        <w:spacing w:after="40"/>
      </w:pPr>
    </w:p>
    <w:p>
      <w:r>
        <w:t>G: gestión o función principal según permiso. C: consulta. H: historial. P: movimientos propios. A: acceso móvil adaptado al perfil. —: sin acceso. La matriz resume el alcance; las acciones concretas se autorizan por permiso y las atribuciones administrativas sensibles exigen usuarios.permisos.</w:t>
      </w:r>
    </w:p>
    <w:p>
      <w:r>
        <w:br w:type="page"/>
      </w:r>
    </w:p>
    <w:p>
      <w:pPr>
        <w:pStyle w:val="Heading1"/>
      </w:pPr>
      <w:r>
        <w:t>3 Arquitectura y organización modular</w:t>
      </w:r>
    </w:p>
    <w:p>
      <w:r>
        <w:t>El navegador solicita páginas HTML y módulos JavaScript al servidor Express. La API aplica autenticación, permisos y validaciones antes de acceder a PostgreSQL. Los servicios de imagen procesan evidencias en el servidor. La aplicación conserva una arquitectura monolítica modular para facilitar instalación y trazabilidad.</w:t>
      </w:r>
    </w:p>
    <w:tbl>
      <w:tblPr>
        <w:tblW w:type="auto" w:w="0"/>
        <w:tblLayout w:type="fixed"/>
        <w:tblLook w:firstColumn="1" w:firstRow="1" w:lastColumn="0" w:lastRow="0" w:noHBand="0" w:noVBand="1" w:val="04A0"/>
      </w:tblPr>
      <w:tblGrid>
        <w:gridCol w:w="2448"/>
        <w:gridCol w:w="7632"/>
      </w:tblGrid>
      <w:tr>
        <w:trPr>
          <w:cantSplit/>
          <w:tblHeader/>
        </w:trPr>
        <w:tc>
          <w:tcPr>
            <w:tcW w:type="dxa" w:w="2448"/>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Capa</w:t>
            </w:r>
          </w:p>
        </w:tc>
        <w:tc>
          <w:tcPr>
            <w:tcW w:type="dxa" w:w="7632"/>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Ubicación y función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Presentación</w:t>
            </w:r>
          </w:p>
        </w:tc>
        <w:tc>
          <w:tcPr>
            <w:tcW w:type="dxa" w:w="763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frontend/*.html y frontend/css: portal, servicio, login y estructura de trabajo.</w:t>
            </w:r>
          </w:p>
        </w:tc>
      </w:tr>
      <w:tr>
        <w:trPr>
          <w:cantSplit/>
        </w:trPr>
        <w:tc>
          <w:tcPr>
            <w:tcW w:type="dxa" w:w="244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Módulos de interfaz</w:t>
            </w:r>
          </w:p>
        </w:tc>
        <w:tc>
          <w:tcPr>
            <w:tcW w:type="dxa" w:w="763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frontend/modules/{modulo}: pantallas de los nueve casos de uso.</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Composición compartida</w:t>
            </w:r>
          </w:p>
        </w:tc>
        <w:tc>
          <w:tcPr>
            <w:tcW w:type="dxa" w:w="763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frontend/shared: pestañas accesibles; frontend/js: sesión, API, tema y navegación.</w:t>
            </w:r>
          </w:p>
        </w:tc>
      </w:tr>
      <w:tr>
        <w:trPr>
          <w:cantSplit/>
        </w:trPr>
        <w:tc>
          <w:tcPr>
            <w:tcW w:type="dxa" w:w="244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API modular</w:t>
            </w:r>
          </w:p>
        </w:tc>
        <w:tc>
          <w:tcPr>
            <w:tcW w:type="dxa" w:w="763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backend/src/modules/{modulo}: rutas, reglas y consultas del dominio.</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Servicios transversales</w:t>
            </w:r>
          </w:p>
        </w:tc>
        <w:tc>
          <w:tcPr>
            <w:tcW w:type="dxa" w:w="763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backend/src/core/autenticacion, middleware, config y utils.</w:t>
            </w:r>
          </w:p>
        </w:tc>
      </w:tr>
      <w:tr>
        <w:trPr>
          <w:cantSplit/>
        </w:trPr>
        <w:tc>
          <w:tcPr>
            <w:tcW w:type="dxa" w:w="244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Persistencia</w:t>
            </w:r>
          </w:p>
        </w:tc>
        <w:tc>
          <w:tcPr>
            <w:tcW w:type="dxa" w:w="763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backend/sql: esquema, datos iniciales, funciones y migraciones versionadas.</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Verificación</w:t>
            </w:r>
          </w:p>
        </w:tc>
        <w:tc>
          <w:tcPr>
            <w:tcW w:type="dxa" w:w="763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tests: integraciones, resultados y verificaciones de estructura.</w:t>
            </w:r>
          </w:p>
        </w:tc>
      </w:tr>
    </w:tbl>
    <w:p>
      <w:pPr>
        <w:spacing w:after="40"/>
      </w:pPr>
    </w:p>
    <w:p>
      <w:pPr>
        <w:pStyle w:val="Heading2"/>
      </w:pPr>
      <w:r>
        <w:t>Correspondencia entre carpetas y módulos</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Carpeta</w:t>
            </w:r>
          </w:p>
        </w:tc>
        <w:tc>
          <w:tcPr>
            <w:tcW w:type="dxa" w:w="7488"/>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Componentes</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usuarios</w:t>
            </w:r>
          </w:p>
        </w:tc>
        <w:tc>
          <w:tcPr>
            <w:tcW w:type="dxa" w:w="748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Cuentas y roles</w:t>
            </w:r>
          </w:p>
        </w:tc>
      </w:tr>
      <w:tr>
        <w:trPr>
          <w:cantSplit/>
        </w:trPr>
        <w:tc>
          <w:tcPr>
            <w:tcW w:type="dxa" w:w="25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reportes</w:t>
            </w:r>
          </w:p>
        </w:tc>
        <w:tc>
          <w:tcPr>
            <w:tcW w:type="dxa" w:w="748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Indicadores y PDF</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propietarios</w:t>
            </w:r>
          </w:p>
        </w:tc>
        <w:tc>
          <w:tcPr>
            <w:tcW w:type="dxa" w:w="748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Registro de estudiantes y docentes</w:t>
            </w:r>
          </w:p>
        </w:tc>
      </w:tr>
      <w:tr>
        <w:trPr>
          <w:cantSplit/>
        </w:trPr>
        <w:tc>
          <w:tcPr>
            <w:tcW w:type="dxa" w:w="25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vehiculos</w:t>
            </w:r>
          </w:p>
        </w:tc>
        <w:tc>
          <w:tcPr>
            <w:tcW w:type="dxa" w:w="748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Vehículos y autorizaciones</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lugares</w:t>
            </w:r>
          </w:p>
        </w:tc>
        <w:tc>
          <w:tcPr>
            <w:tcW w:type="dxa" w:w="748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Panel, parqueos y ocupación</w:t>
            </w:r>
          </w:p>
        </w:tc>
      </w:tr>
      <w:tr>
        <w:trPr>
          <w:cantSplit/>
        </w:trPr>
        <w:tc>
          <w:tcPr>
            <w:tcW w:type="dxa" w:w="25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control</w:t>
            </w:r>
          </w:p>
        </w:tc>
        <w:tc>
          <w:tcPr>
            <w:tcW w:type="dxa" w:w="748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Accesos, historial y consulta propia</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alertas</w:t>
            </w:r>
          </w:p>
        </w:tc>
        <w:tc>
          <w:tcPr>
            <w:tcW w:type="dxa" w:w="748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Incidentes y verificador</w:t>
            </w:r>
          </w:p>
        </w:tc>
      </w:tr>
      <w:tr>
        <w:trPr>
          <w:cantSplit/>
        </w:trPr>
        <w:tc>
          <w:tcPr>
            <w:tcW w:type="dxa" w:w="2592"/>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auditoria</w:t>
            </w:r>
          </w:p>
        </w:tc>
        <w:tc>
          <w:tcPr>
            <w:tcW w:type="dxa" w:w="7488"/>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Auditoría y respaldos</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movil</w:t>
            </w:r>
          </w:p>
        </w:tc>
        <w:tc>
          <w:tcPr>
            <w:tcW w:type="dxa" w:w="7488"/>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Consulta por propietario y accesos por rol</w:t>
            </w:r>
          </w:p>
        </w:tc>
      </w:tr>
    </w:tbl>
    <w:p>
      <w:pPr>
        <w:spacing w:after="40"/>
      </w:pPr>
    </w:p>
    <w:p>
      <w:r>
        <w:t>La autenticación es transversal y no agrega un décimo módulo funcional. Las rutas heredadas /api/estudiante y los nombres de tablas PARKIA se mantienen por compatibilidad. Los documentos históricos se archivan separados de la documentación vigente.</w:t>
      </w:r>
    </w:p>
    <w:p>
      <w:r>
        <w:br w:type="page"/>
      </w:r>
    </w:p>
    <w:p>
      <w:pPr>
        <w:pStyle w:val="Heading1"/>
      </w:pPr>
      <w:r>
        <w:t>4 Identidad y experiencia de uso</w:t>
      </w:r>
    </w:p>
    <w:p>
      <w:r>
        <w:t>NEXO PARK expresa la conexión entre personas, vehículos y espacios. Su logotipo utiliza un monograma geométrico N, un punto de acento dorado y una denominación de alto contraste. El emblema EMI se conserva como identidad institucional.</w:t>
      </w:r>
    </w:p>
    <w:tbl>
      <w:tblPr>
        <w:tblW w:type="auto" w:w="0"/>
        <w:tblLayout w:type="fixed"/>
        <w:tblLook w:firstColumn="1" w:firstRow="1" w:lastColumn="0" w:lastRow="0" w:noHBand="0" w:noVBand="1" w:val="04A0"/>
      </w:tblPr>
      <w:tblGrid>
        <w:gridCol w:w="2304"/>
        <w:gridCol w:w="7776"/>
      </w:tblGrid>
      <w:tr>
        <w:trPr>
          <w:cantSplit/>
          <w:tblHeader/>
        </w:trPr>
        <w:tc>
          <w:tcPr>
            <w:tcW w:type="dxa" w:w="2304"/>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Elemento</w:t>
            </w:r>
          </w:p>
        </w:tc>
        <w:tc>
          <w:tcPr>
            <w:tcW w:type="dxa" w:w="7776"/>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Especificación</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Azul profundo</w:t>
            </w:r>
          </w:p>
        </w:tc>
        <w:tc>
          <w:tcPr>
            <w:tcW w:type="dxa" w:w="7776"/>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HEX 101F35. Navegación y estructura institucional.</w:t>
            </w:r>
          </w:p>
        </w:tc>
      </w:tr>
      <w:tr>
        <w:trPr>
          <w:cantSplit/>
        </w:trPr>
        <w:tc>
          <w:tcPr>
            <w:tcW w:type="dxa" w:w="2304"/>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Turquesa</w:t>
            </w:r>
          </w:p>
        </w:tc>
        <w:tc>
          <w:tcPr>
            <w:tcW w:type="dxa" w:w="7776"/>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HEX 087F79. Acciones principales y estados seleccionados.</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Menta</w:t>
            </w:r>
          </w:p>
        </w:tc>
        <w:tc>
          <w:tcPr>
            <w:tcW w:type="dxa" w:w="7776"/>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HEX 3DD9C0. Acentos sobre fondos oscuros.</w:t>
            </w:r>
          </w:p>
        </w:tc>
      </w:tr>
      <w:tr>
        <w:trPr>
          <w:cantSplit/>
        </w:trPr>
        <w:tc>
          <w:tcPr>
            <w:tcW w:type="dxa" w:w="2304"/>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Dorado</w:t>
            </w:r>
          </w:p>
        </w:tc>
        <w:tc>
          <w:tcPr>
            <w:tcW w:type="dxa" w:w="7776"/>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HEX E7BD72. Acento del símbolo, de uso limitado.</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Fondo y bordes</w:t>
            </w:r>
          </w:p>
        </w:tc>
        <w:tc>
          <w:tcPr>
            <w:tcW w:type="dxa" w:w="7776"/>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HEX F3F6FA y DCE5EC. Separación de superficies.</w:t>
            </w:r>
          </w:p>
        </w:tc>
      </w:tr>
      <w:tr>
        <w:trPr>
          <w:cantSplit/>
        </w:trPr>
        <w:tc>
          <w:tcPr>
            <w:tcW w:type="dxa" w:w="2304"/>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Tipografía</w:t>
            </w:r>
          </w:p>
        </w:tc>
        <w:tc>
          <w:tcPr>
            <w:tcW w:type="dxa" w:w="7776"/>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Segoe UI Variable, Inter, Segoe UI y Arial como alternativas locales. Sin dependencia obligatoria de fuentes remotas.</w:t>
            </w:r>
          </w:p>
        </w:tc>
      </w:tr>
    </w:tbl>
    <w:p>
      <w:pPr>
        <w:spacing w:after="40"/>
      </w:pPr>
    </w:p>
    <w:p>
      <w:pPr>
        <w:pStyle w:val="Heading2"/>
      </w:pPr>
      <w:r>
        <w:t>Recorridos principales</w:t>
      </w:r>
    </w:p>
    <w:p>
      <w:pPr>
        <w:pStyle w:val="ListBullet"/>
      </w:pPr>
      <w:r>
        <w:t>Portal EMI → Infraestructura → Parqueos NEXO PARK → Iniciar sesión → módulo inicial autorizado.</w:t>
      </w:r>
    </w:p>
    <w:p>
      <w:pPr>
        <w:pStyle w:val="ListBullet"/>
      </w:pPr>
      <w:r>
        <w:t>Atajo desde portal al servicio de parqueos o al ingreso, manteniendo la ruta institucional completa.</w:t>
      </w:r>
    </w:p>
    <w:p>
      <w:pPr>
        <w:pStyle w:val="ListBullet"/>
      </w:pPr>
      <w:r>
        <w:t>Propietario → Componente móvil para disponibilidad; Control de ingreso y salida para movimientos propios.</w:t>
      </w:r>
    </w:p>
    <w:p>
      <w:pPr>
        <w:pStyle w:val="ListBullet"/>
      </w:pPr>
      <w:r>
        <w:t>Personal → Gestión de lugares cuando dispone de permiso; navegación lateral y búsqueda Ctrl K para cambiar de tarea.</w:t>
      </w:r>
    </w:p>
    <w:p>
      <w:pPr>
        <w:pStyle w:val="Heading2"/>
      </w:pPr>
      <w:r>
        <w:t>Tratamiento de estados y accesibilidad</w:t>
      </w:r>
    </w:p>
    <w:p>
      <w:r>
        <w:t>Los controles tienen foco visible, nombres accesibles y tamaños adecuados para interacción táctil. Las pestañas admiten flechas, Inicio y Fin. Los formularios conservan etiquetas; los mensajes de error y estado se anuncian mediante roles accesibles. El diseño responde al ancho de pantalla y a la preferencia de movimiento reducido. La interfaz indica desconexión y ofrece reintento ante errores de carga.</w:t>
      </w:r>
    </w:p>
    <w:p>
      <w:r>
        <w:t>La mejora visual no constituye por sí sola una certificación de accesibilidad ni una garantía de adopción. La validación con usuarios del campus debe medir tiempos de tarea, errores, comprensión de estados y satisfacción.</w:t>
      </w:r>
    </w:p>
    <w:p>
      <w:r>
        <w:br w:type="page"/>
      </w:r>
    </w:p>
    <w:p>
      <w:pPr>
        <w:pStyle w:val="Heading1"/>
      </w:pPr>
      <w:r>
        <w:t>5 Especificación de módulos 1 a 3</w:t>
      </w:r>
    </w:p>
    <w:p>
      <w:pPr>
        <w:pStyle w:val="Heading2"/>
      </w:pPr>
      <w:r>
        <w:t>M01 Gestión de usuarios</w:t>
      </w:r>
    </w:p>
    <w:p>
      <w:r>
        <w:t>Crear y mantener cuentas institucionales; asignar roles y zonas; gestionar estados. La asignación de privilegios y las cuentas administradoras requieren usuarios.permisos.</w:t>
      </w:r>
    </w:p>
    <w:p>
      <w:r>
        <w:t>Participación: Administrador, Soporte y Recursos Humanos.</w:t>
      </w:r>
    </w:p>
    <w:p>
      <w:r>
        <w:t>Interfaces: /api/usuarios.</w:t>
      </w:r>
    </w:p>
    <w:p>
      <w:r>
        <w:t>Persistencia: usuarios, roles, permisos, roles_permisos, sesiones_autenticacion.</w:t>
      </w:r>
    </w:p>
    <w:p>
      <w:r>
        <w:t>Criterio de aceptación: Al cambiar contraseña, rol o estado, revocar sesiones afectadas. Usuario duplicado: rechazar sin crear otra cuenta.</w:t>
      </w:r>
    </w:p>
    <w:p>
      <w:pPr>
        <w:pStyle w:val="Heading2"/>
      </w:pPr>
      <w:r>
        <w:t>M02 Informes y reportes</w:t>
      </w:r>
    </w:p>
    <w:p>
      <w:r>
        <w:t>Consolidar flujo de accesos, validaciones y cambios de ocupación por fechas y zona; consultar disponibilidad actual; previsualizar y descargar PDF y exportar CSV.</w:t>
      </w:r>
    </w:p>
    <w:p>
      <w:r>
        <w:t>Participación: Administrador, Operadores, Recursos Humanos, Director y Guardia.</w:t>
      </w:r>
    </w:p>
    <w:p>
      <w:r>
        <w:t>Interfaces: /api/reportes.</w:t>
      </w:r>
    </w:p>
    <w:p>
      <w:r>
        <w:t>Persistencia: eventos_acceso, eventos_ocupacion, zonas_parqueo, plazas_parqueo, vehiculos, usuarios.</w:t>
      </w:r>
    </w:p>
    <w:p>
      <w:r>
        <w:t>Criterio de aceptación: La interfaz presenta el PDF y habilita Descargar PDF. Rechazar fechas inexistentes, período invertido o intervalo superior a 366 días.</w:t>
      </w:r>
    </w:p>
    <w:p>
      <w:pPr>
        <w:pStyle w:val="Heading2"/>
      </w:pPr>
      <w:r>
        <w:t>M03 Registro de propietarios</w:t>
      </w:r>
    </w:p>
    <w:p>
      <w:r>
        <w:t>Registrar estudiantes y docentes como propietarios. Este perfil no concede atribuciones de autoridad ni de personal administrativo.</w:t>
      </w:r>
    </w:p>
    <w:p>
      <w:r>
        <w:t>Participación: Administrador, Operadores, Recursos Humanos; Soporte consulta.</w:t>
      </w:r>
    </w:p>
    <w:p>
      <w:r>
        <w:t>Interfaces: /api/propietarios.</w:t>
      </w:r>
    </w:p>
    <w:p>
      <w:r>
        <w:t>Persistencia: usuarios, perfiles_propietarios, roles, zonas_parqueo, vehiculos.</w:t>
      </w:r>
    </w:p>
    <w:p>
      <w:r>
        <w:t>Criterio de aceptación: Mantener la relación del propietario con sus vehículos. Rechazar tipos distintos de ESTUDIANTE y DOCENTE.</w:t>
      </w:r>
    </w:p>
    <w:p>
      <w:r>
        <w:br w:type="page"/>
      </w:r>
    </w:p>
    <w:p>
      <w:pPr>
        <w:pStyle w:val="Heading1"/>
      </w:pPr>
      <w:r>
        <w:t>6 Especificación de módulos 4 a 6</w:t>
      </w:r>
    </w:p>
    <w:p>
      <w:pPr>
        <w:pStyle w:val="Heading2"/>
      </w:pPr>
      <w:r>
        <w:t>M04 Registro de vehículos</w:t>
      </w:r>
    </w:p>
    <w:p>
      <w:r>
        <w:t>Asociar vehículos a propietarios habilitados, conservar fotografías del vehículo y placa y administrar autorizaciones temporales, permanentes o excepcionales.</w:t>
      </w:r>
    </w:p>
    <w:p>
      <w:r>
        <w:t>Participación: Administrador y Operadores gestionan; Guardia y Recursos Humanos consultan.</w:t>
      </w:r>
    </w:p>
    <w:p>
      <w:r>
        <w:t>Interfaces: /api/vehiculos.</w:t>
      </w:r>
    </w:p>
    <w:p>
      <w:r>
        <w:t>Persistencia: vehiculos, usuarios, autorizaciones_vehiculares.</w:t>
      </w:r>
    </w:p>
    <w:p>
      <w:r>
        <w:t>Criterio de aceptación: Crear una autorización con vigencia y motivo cuando corresponda. Normalizar la placa a mayúsculas sin espacios ni guiones.</w:t>
      </w:r>
    </w:p>
    <w:p>
      <w:pPr>
        <w:pStyle w:val="Heading2"/>
      </w:pPr>
      <w:r>
        <w:t>M05 Gestión de lugares y clasificación</w:t>
      </w:r>
    </w:p>
    <w:p>
      <w:r>
        <w:t>Agrupar supervisión, zonas, plazas, dispositivos y visión artificial. Las pestañas conservan la navegación del módulo al cambiar de función.</w:t>
      </w:r>
    </w:p>
    <w:p>
      <w:r>
        <w:t>Participación: Administrador, Operadores y Soporte gestionan; Director y Guardia consultan.</w:t>
      </w:r>
    </w:p>
    <w:p>
      <w:r>
        <w:t>Interfaces: /api/panel, /api/parqueos, /api/ocupacion.</w:t>
      </w:r>
    </w:p>
    <w:p>
      <w:r>
        <w:t>Persistencia: zonas_parqueo, plazas_parqueo, dispositivos, eventos_ocupacion, bitacora_dispositivos.</w:t>
      </w:r>
    </w:p>
    <w:p>
      <w:r>
        <w:t>Criterio de aceptación: Registrar cambios de ocupación con origen y evidencia. Mostrar SIN_DATOS cuando no existe evidencia suficiente.</w:t>
      </w:r>
    </w:p>
    <w:p>
      <w:pPr>
        <w:pStyle w:val="Heading2"/>
      </w:pPr>
      <w:r>
        <w:t>M06 Control de ingreso y salida</w:t>
      </w:r>
    </w:p>
    <w:p>
      <w:r>
        <w:t>Agrupar registro de ingreso y salida, lectura de placa, revisión manual e historial trazable. El propietario dispone de una consulta aislada de sus vehículos.</w:t>
      </w:r>
    </w:p>
    <w:p>
      <w:r>
        <w:t>Participación: Administrador, Operadores y Guardia operan; Soporte, RRHH y Director consultan historial; Propietario consulta sus movimientos.</w:t>
      </w:r>
    </w:p>
    <w:p>
      <w:r>
        <w:t>Interfaces: /api/accesos, /api/historial, /api/estudiante/mis-accesos.</w:t>
      </w:r>
    </w:p>
    <w:p>
      <w:r>
        <w:t>Persistencia: eventos_acceso, resultados_reconocimiento_placa, vehiculos, autorizaciones_vehiculares, dispositivos.</w:t>
      </w:r>
    </w:p>
    <w:p>
      <w:r>
        <w:t>Criterio de aceptación: Consultar historial con filtros; un propietario solo recibe sus propios movimientos. Lecturas con confianza inferior a 85 requieren revisión.</w:t>
      </w:r>
    </w:p>
    <w:p>
      <w:r>
        <w:br w:type="page"/>
      </w:r>
    </w:p>
    <w:p>
      <w:pPr>
        <w:pStyle w:val="Heading1"/>
      </w:pPr>
      <w:r>
        <w:t>7 Especificación de módulos 7 a 9</w:t>
      </w:r>
    </w:p>
    <w:p>
      <w:pPr>
        <w:pStyle w:val="Heading2"/>
      </w:pPr>
      <w:r>
        <w:t>M07 Alertas y notificaciones</w:t>
      </w:r>
    </w:p>
    <w:p>
      <w:r>
        <w:t>Identificar incidentes operativos y registrar su atención, asignación y cierre. La información se consulta dentro del sistema.</w:t>
      </w:r>
    </w:p>
    <w:p>
      <w:r>
        <w:t>Participación: Administrador, Operadores, Soporte y Guardia gestionan; Director consulta.</w:t>
      </w:r>
    </w:p>
    <w:p>
      <w:r>
        <w:t>Interfaces: /api/alertas.</w:t>
      </w:r>
    </w:p>
    <w:p>
      <w:r>
        <w:t>Persistencia: alertas, acciones_alerta, dispositivos, zonas_parqueo, plazas_parqueo.</w:t>
      </w:r>
    </w:p>
    <w:p>
      <w:r>
        <w:t>Criterio de aceptación: Cerrar el incidente conservando su historial. Evitar duplicar incidentes activos mediante clave_incidente.</w:t>
      </w:r>
    </w:p>
    <w:p>
      <w:pPr>
        <w:pStyle w:val="Heading2"/>
      </w:pPr>
      <w:r>
        <w:t>M08 Auditoría y control</w:t>
      </w:r>
    </w:p>
    <w:p>
      <w:r>
        <w:t>Revisar acciones trazables y administrar la continuidad. Agrupa auditoría y respaldos dentro del mismo módulo.</w:t>
      </w:r>
    </w:p>
    <w:p>
      <w:r>
        <w:t>Participación: Administrador y Soporte; Director consulta auditoría.</w:t>
      </w:r>
    </w:p>
    <w:p>
      <w:r>
        <w:t>Interfaces: /api/auditoria, /api/respaldos.</w:t>
      </w:r>
    </w:p>
    <w:p>
      <w:r>
        <w:t>Persistencia: auditoria, respaldos, bitacora_dispositivos, usuarios.</w:t>
      </w:r>
    </w:p>
    <w:p>
      <w:r>
        <w:t>Criterio de aceptación: Revisar estado y mensaje de ejecución. Los comandos de respaldo están deshabilitados por defecto.</w:t>
      </w:r>
    </w:p>
    <w:p>
      <w:pPr>
        <w:pStyle w:val="Heading2"/>
      </w:pPr>
      <w:r>
        <w:t>M09 Componente móvil</w:t>
      </w:r>
    </w:p>
    <w:p>
      <w:r>
        <w:t>Presentar una experiencia adaptable. Los propietarios consultan la zona asignada; los demás actores disponen de accesos rápidos a funciones autorizadas.</w:t>
      </w:r>
    </w:p>
    <w:p>
      <w:r>
        <w:t>Participación: Los siete actores.</w:t>
      </w:r>
    </w:p>
    <w:p>
      <w:r>
        <w:t>Interfaces: /api/movil/contexto, /api/estudiante.</w:t>
      </w:r>
    </w:p>
    <w:p>
      <w:r>
        <w:t>Persistencia: usuarios, zonas_parqueo, plazas_parqueo, vehiculos, eventos_acceso.</w:t>
      </w:r>
    </w:p>
    <w:p>
      <w:r>
        <w:t>Criterio de aceptación: Mostrar aviso de desconexión y recuperar datos al volver a la red. La consulta no reserva una plaza.</w:t>
      </w:r>
    </w:p>
    <w:p>
      <w:r>
        <w:br w:type="page"/>
      </w:r>
    </w:p>
    <w:p>
      <w:pPr>
        <w:pStyle w:val="Heading1"/>
      </w:pPr>
      <w:r>
        <w:t>8 Modelo de datos e integridad</w:t>
      </w:r>
    </w:p>
    <w:p>
      <w:r>
        <w:t>El esquema vigente contiene 21 tablas y 185 campos. Se identificaron 31 claves foráneas en el catálogo del motor después de ejecutar las migraciones. El diccionario y los diagramas se derivan de ese esquema para evitar diferencias con la implementación.</w:t>
      </w:r>
    </w:p>
    <w:p>
      <w:pPr>
        <w:pStyle w:val="Heading2"/>
      </w:pPr>
      <w:r>
        <w:t>Núcleos del modelo</w:t>
      </w:r>
    </w:p>
    <w:tbl>
      <w:tblPr>
        <w:tblW w:type="auto" w:w="0"/>
        <w:tblLayout w:type="fixed"/>
        <w:tblLook w:firstColumn="1" w:firstRow="1" w:lastColumn="0" w:lastRow="0" w:noHBand="0" w:noVBand="1" w:val="04A0"/>
      </w:tblPr>
      <w:tblGrid>
        <w:gridCol w:w="2016"/>
        <w:gridCol w:w="8064"/>
      </w:tblGrid>
      <w:tr>
        <w:trPr>
          <w:cantSplit/>
          <w:tblHeader/>
        </w:trPr>
        <w:tc>
          <w:tcPr>
            <w:tcW w:type="dxa" w:w="2016"/>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Dominio</w:t>
            </w:r>
          </w:p>
        </w:tc>
        <w:tc>
          <w:tcPr>
            <w:tcW w:type="dxa" w:w="8064"/>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Entidades</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Identidad</w:t>
            </w:r>
          </w:p>
        </w:tc>
        <w:tc>
          <w:tcPr>
            <w:tcW w:type="dxa" w:w="8064"/>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roles, permisos, roles_permisos, usuarios, sesiones_autenticacion, perfiles_propietarios</w:t>
            </w:r>
          </w:p>
        </w:tc>
      </w:tr>
      <w:tr>
        <w:trPr>
          <w:cantSplit/>
        </w:trPr>
        <w:tc>
          <w:tcPr>
            <w:tcW w:type="dxa" w:w="2016"/>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Movilidad</w:t>
            </w:r>
          </w:p>
        </w:tc>
        <w:tc>
          <w:tcPr>
            <w:tcW w:type="dxa" w:w="8064"/>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vehiculos, autorizaciones_vehiculares, eventos_acceso, resultados_reconocimiento_placa</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Infraestructura</w:t>
            </w:r>
          </w:p>
        </w:tc>
        <w:tc>
          <w:tcPr>
            <w:tcW w:type="dxa" w:w="8064"/>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zonas_parqueo, dispositivos, plazas_parqueo, eventos_ocupacion, bitacora_dispositivos</w:t>
            </w:r>
          </w:p>
        </w:tc>
      </w:tr>
      <w:tr>
        <w:trPr>
          <w:cantSplit/>
        </w:trPr>
        <w:tc>
          <w:tcPr>
            <w:tcW w:type="dxa" w:w="2016"/>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Control</w:t>
            </w:r>
          </w:p>
        </w:tc>
        <w:tc>
          <w:tcPr>
            <w:tcW w:type="dxa" w:w="8064"/>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alertas, acciones_alerta, auditoria, respaldos, configuracion_sistema</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Evolución</w:t>
            </w:r>
          </w:p>
        </w:tc>
        <w:tc>
          <w:tcPr>
            <w:tcW w:type="dxa" w:w="8064"/>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migraciones_parkia</w:t>
            </w:r>
          </w:p>
        </w:tc>
      </w:tr>
    </w:tbl>
    <w:p>
      <w:pPr>
        <w:spacing w:after="40"/>
      </w:pPr>
    </w:p>
    <w:p>
      <w:pPr>
        <w:pStyle w:val="ListBullet"/>
      </w:pPr>
      <w:r>
        <w:t>roles_permisos resuelve la relación N:M entre roles y permisos mediante una clave primaria compuesta.</w:t>
      </w:r>
    </w:p>
    <w:p>
      <w:pPr>
        <w:pStyle w:val="ListBullet"/>
      </w:pPr>
      <w:r>
        <w:t>perfiles_propietarios utiliza usuario_id como clave primaria y foránea: cada perfil pertenece a una cuenta y una cuenta tiene como máximo un perfil.</w:t>
      </w:r>
    </w:p>
    <w:p>
      <w:pPr>
        <w:pStyle w:val="ListBullet"/>
      </w:pPr>
      <w:r>
        <w:t>La placa activa dispone de un índice único sin distinguir mayúsculas. El usuario también se controla sin distinguir mayúsculas en V30.</w:t>
      </w:r>
    </w:p>
    <w:p>
      <w:pPr>
        <w:pStyle w:val="ListBullet"/>
      </w:pPr>
      <w:r>
        <w:t>Las autorizaciones de un vehículo no pueden superponerse mediante el flujo de registro. La comprobación pertenece al servicio y no a una restricción de exclusión del esquema.</w:t>
      </w:r>
    </w:p>
    <w:p>
      <w:pPr>
        <w:pStyle w:val="ListBullet"/>
      </w:pPr>
      <w:r>
        <w:t>Las marcas temporales con zona horaria se almacenan como TIMESTAMPTZ. La conexión usa America/La_Paz.</w:t>
      </w:r>
    </w:p>
    <w:p>
      <w:pPr>
        <w:pStyle w:val="ListBullet"/>
      </w:pPr>
      <w:r>
        <w:t>Los estados y categorías tienen restricciones CHECK. Las fotos se conservan como texto con datos de imagen en el prototipo.</w:t>
      </w:r>
    </w:p>
    <w:p>
      <w:r>
        <w:t>Las tablas de eventos mantienen hechos operativos; las tablas de estado actual facilitan la consulta. Esta coexistencia exige consistencia transaccional al registrar cambios. La validez de un estado visual depende de la calidad y antigüedad de su evidencia.</w:t>
      </w:r>
    </w:p>
    <w:p>
      <w:r>
        <w:br w:type="page"/>
      </w:r>
    </w:p>
    <w:p>
      <w:pPr>
        <w:pStyle w:val="Heading1"/>
      </w:pPr>
      <w:r>
        <w:t>9 Seguridad y continuidad</w:t>
      </w:r>
    </w:p>
    <w:p>
      <w:pPr>
        <w:pStyle w:val="ListBullet"/>
      </w:pPr>
      <w:r>
        <w:t>Contraseñas derivadas mediante la función de seguridad del proyecto; nunca se devuelven hashes en la interfaz.</w:t>
      </w:r>
    </w:p>
    <w:p>
      <w:pPr>
        <w:pStyle w:val="ListBullet"/>
      </w:pPr>
      <w:r>
        <w:t>CAPTCHA temporal, limitación de intentos y bloqueo de cuenta según configuración.</w:t>
      </w:r>
    </w:p>
    <w:p>
      <w:pPr>
        <w:pStyle w:val="ListBullet"/>
      </w:pPr>
      <w:r>
        <w:t>JWT con identificador de sesión y verificación de expiración, revocación y estado de cuenta en cada petición.</w:t>
      </w:r>
    </w:p>
    <w:p>
      <w:pPr>
        <w:pStyle w:val="ListBullet"/>
      </w:pPr>
      <w:r>
        <w:t>Aislamiento defensivo del propietario. No puede heredar herramientas institucionales por una modificación accidental de privilegios.</w:t>
      </w:r>
    </w:p>
    <w:p>
      <w:pPr>
        <w:pStyle w:val="ListBullet"/>
      </w:pPr>
      <w:r>
        <w:t>Consultas parametrizadas y validaciones de datos y fechas en los servicios.</w:t>
      </w:r>
    </w:p>
    <w:p>
      <w:pPr>
        <w:pStyle w:val="ListBullet"/>
      </w:pPr>
      <w:r>
        <w:t>Respuestas privadas de API excluidas del caché PWA. El almacenamiento del token continúa en localStorage: debe protegerse la aplicación frente a XSS y utilizar HTTPS al desplegar.</w:t>
      </w:r>
    </w:p>
    <w:p>
      <w:pPr>
        <w:pStyle w:val="ListBullet"/>
      </w:pPr>
      <w:r>
        <w:t>No se crean usuarios de demostración salvo SEED_DEMO=true. El arranque productivo exige secretos de longitud suficiente.</w:t>
      </w:r>
    </w:p>
    <w:p>
      <w:pPr>
        <w:pStyle w:val="Heading2"/>
      </w:pPr>
      <w:r>
        <w:t>Migraciones</w:t>
      </w:r>
    </w:p>
    <w:p>
      <w:r>
        <w:t>El servidor aplica las migraciones pendientes en una transacción con bloqueo asesor. Las instalaciones que ya registran V29 no vuelven a ejecutar los mapas históricos; así se evita sobrescribir una distribución ajustada por el operador. Un duplicado de nombre de usuario por diferencias de mayúsculas detiene la migración V30 y exige corregir el conflicto antes de continuar.</w:t>
      </w:r>
    </w:p>
    <w:p>
      <w:pPr>
        <w:pStyle w:val="Heading2"/>
      </w:pPr>
      <w:r>
        <w:t>Respaldo y recuperación</w:t>
      </w:r>
    </w:p>
    <w:p>
      <w:r>
        <w:t>Antes de actualizar una instalación existente, generar un respaldo y verificar su restauración en una base separada. Conservar también imágenes y configuración si se extraen de la base. ALLOW_BACKUP_COMMANDS permanece deshabilitado por defecto. La prueba de recuperación debe registrar duración, integridad de tablas y disponibilidad de los servicios después del retorno.</w:t>
      </w:r>
    </w:p>
    <w:p>
      <w:r>
        <w:br w:type="page"/>
      </w:r>
    </w:p>
    <w:p>
      <w:pPr>
        <w:pStyle w:val="Heading1"/>
      </w:pPr>
      <w:r>
        <w:t>10 Instalación y actualización</w:t>
      </w:r>
    </w:p>
    <w:p>
      <w:r>
        <w:t>La vía principal de demostración utiliza Docker Compose y PostgreSQL 16. Desde la raíz del proyecto, ejecutar docker compose up --build y abrir http://localhost:4000. El volumen de base de datos conserva los datos entre reinicios. Las credenciales de demostración se documentan en la guía local y no se muestran en el portal.</w:t>
      </w:r>
    </w:p>
    <w:p>
      <w:pPr>
        <w:pStyle w:val="Heading2"/>
      </w:pPr>
      <w:r>
        <w:t>Instalación sin Docker</w:t>
      </w:r>
    </w:p>
    <w:p>
      <w:pPr>
        <w:pStyle w:val="ListBullet"/>
      </w:pPr>
      <w:r>
        <w:t>Instalar Node.js compatible con el proyecto, PostgreSQL y Tesseract con idioma eng para OCR.</w:t>
      </w:r>
    </w:p>
    <w:p>
      <w:pPr>
        <w:pStyle w:val="ListBullet"/>
      </w:pPr>
      <w:r>
        <w:t>Crear la base y configurar DATABASE_URL en backend/.env a partir de backend/.env.example.</w:t>
      </w:r>
    </w:p>
    <w:p>
      <w:pPr>
        <w:pStyle w:val="ListBullet"/>
      </w:pPr>
      <w:r>
        <w:t>Desde backend ejecutar npm ci. Ejecutar 01_schema.sql, 02_seed.sql y 03_views_functions.sql en ese orden.</w:t>
      </w:r>
    </w:p>
    <w:p>
      <w:pPr>
        <w:pStyle w:val="ListBullet"/>
      </w:pPr>
      <w:r>
        <w:t>Activar SEED_DEMO=true solo para demostración y ejecutar npm start desde backend.</w:t>
      </w:r>
    </w:p>
    <w:p>
      <w:pPr>
        <w:pStyle w:val="ListBullet"/>
      </w:pPr>
      <w:r>
        <w:t>Comprobar /api/health, iniciar sesión y validar los módulos de cada perfil.</w:t>
      </w:r>
    </w:p>
    <w:p>
      <w:pPr>
        <w:pStyle w:val="Heading2"/>
      </w:pPr>
      <w:r>
        <w:t>Actualización desde V29</w:t>
      </w:r>
    </w:p>
    <w:p>
      <w:pPr>
        <w:pStyle w:val="ListBullet"/>
      </w:pPr>
      <w:r>
        <w:t>Respaldar la base antes de reemplazar archivos. Conservar el archivo .env real y el volumen de datos.</w:t>
      </w:r>
    </w:p>
    <w:p>
      <w:pPr>
        <w:pStyle w:val="ListBullet"/>
      </w:pPr>
      <w:r>
        <w:t>Reemplazar frontend, backend y configuración del proyecto con la nueva entrega. Ejecutar npm ci en backend.</w:t>
      </w:r>
    </w:p>
    <w:p>
      <w:pPr>
        <w:pStyle w:val="ListBullet"/>
      </w:pPr>
      <w:r>
        <w:t>Iniciar el servidor; las migraciones registradas no se repiten.</w:t>
      </w:r>
    </w:p>
    <w:p>
      <w:pPr>
        <w:pStyle w:val="ListBullet"/>
      </w:pPr>
      <w:r>
        <w:t>Recargar el navegador para activar el nuevo service worker. Verificar logotipo, pestañas y vista previa PDF.</w:t>
      </w:r>
    </w:p>
    <w:p>
      <w:pPr>
        <w:pStyle w:val="ListBullet"/>
      </w:pPr>
      <w:r>
        <w:t>Si existe un conflicto de usuarios duplicados, resolverlo en una copia antes de aplicar la actualización al entorno de trabajo.</w:t>
      </w:r>
    </w:p>
    <w:p>
      <w:r>
        <w:t>En producción configurar NODE_ENV=production, SEED_DEMO=false, secretos independientes, HTTPS, orígenes CORS y credenciales propias de PostgreSQL. Crear la primera cuenta con el script create-admin y retirar ADMIN_PASSWORD del entorno después de su uso. La configuración Docker incluida prioriza la demostración local.</w:t>
      </w:r>
    </w:p>
    <w:p>
      <w:r>
        <w:br w:type="page"/>
      </w:r>
    </w:p>
    <w:p>
      <w:pPr>
        <w:pStyle w:val="Heading1"/>
      </w:pPr>
      <w:r>
        <w:t>11 Verificación y límites de despliegue</w:t>
      </w:r>
    </w:p>
    <w:p>
      <w:r>
        <w:t>Se ejecutaron pruebas sobre la API real, una base compatible PostgreSQL mediante PGlite y un navegador Chromium. La prueba utilizó las páginas y rutas del proyecto y datos locales de demostración; no simula una validación física de cámaras o barreras.</w:t>
      </w:r>
    </w:p>
    <w:p>
      <w:pPr>
        <w:pStyle w:val="ListBullet"/>
      </w:pPr>
      <w:r>
        <w:t>Ingreso con administrador y recorrido de los nueve módulos.</w:t>
      </w:r>
    </w:p>
    <w:p>
      <w:pPr>
        <w:pStyle w:val="ListBullet"/>
      </w:pPr>
      <w:r>
        <w:t>Cambio entre pestañas sin perder su barra de navegación.</w:t>
      </w:r>
    </w:p>
    <w:p>
      <w:pPr>
        <w:pStyle w:val="ListBullet"/>
      </w:pPr>
      <w:r>
        <w:t>Inicio y cierre de sesión de los siete actores; estudiante y docente comparten el rol Propietario.</w:t>
      </w:r>
    </w:p>
    <w:p>
      <w:pPr>
        <w:pStyle w:val="ListBullet"/>
      </w:pPr>
      <w:r>
        <w:t>Rechazo de peticiones sin sesión y denegación de funciones institucionales al propietario.</w:t>
      </w:r>
    </w:p>
    <w:p>
      <w:pPr>
        <w:pStyle w:val="ListBullet"/>
      </w:pPr>
      <w:r>
        <w:t>Registro de docente, control de duplicados y rechazo de autoridad como tipo propietario.</w:t>
      </w:r>
    </w:p>
    <w:p>
      <w:pPr>
        <w:pStyle w:val="ListBullet"/>
      </w:pPr>
      <w:r>
        <w:t>Confirmación de siete roles activos.</w:t>
      </w:r>
    </w:p>
    <w:p>
      <w:pPr>
        <w:pStyle w:val="ListBullet"/>
      </w:pPr>
      <w:r>
        <w:t>Rechazo de fechas inválidas y generación de un archivo PDF real.</w:t>
      </w:r>
    </w:p>
    <w:p>
      <w:pPr>
        <w:pStyle w:val="ListBullet"/>
      </w:pPr>
      <w:r>
        <w:t>Revisión visual de portal, ingreso, panel y navegación móvil.</w:t>
      </w:r>
    </w:p>
    <w:p>
      <w:pPr>
        <w:pStyle w:val="Heading2"/>
      </w:pPr>
      <w:r>
        <w:t>Pendientes para operación física</w:t>
      </w:r>
    </w:p>
    <w:p>
      <w:r>
        <w:t>La exactitud del OCR, la calibración de regiones de interés, la confiabilidad de la red y cualquier accionamiento de barreras requieren ensayos con los equipos del campus. Los respaldos con herramientas externas y el despliegue Docker deben verificarse en el equipo de destino. No se atribuyen pruebas de carga o métricas de reconocimiento que no hayan sido medidas.</w:t>
      </w:r>
    </w:p>
    <w:p>
      <w:pPr>
        <w:pStyle w:val="Heading2"/>
      </w:pPr>
      <w:r>
        <w:t>Plan de aceptación del campus</w:t>
      </w:r>
    </w:p>
    <w:tbl>
      <w:tblPr>
        <w:tblW w:type="auto" w:w="0"/>
        <w:tblLayout w:type="fixed"/>
        <w:tblLook w:firstColumn="1" w:firstRow="1" w:lastColumn="0" w:lastRow="0" w:noHBand="0" w:noVBand="1" w:val="04A0"/>
      </w:tblPr>
      <w:tblGrid>
        <w:gridCol w:w="2160"/>
        <w:gridCol w:w="7920"/>
      </w:tblGrid>
      <w:tr>
        <w:trPr>
          <w:cantSplit/>
          <w:tblHeader/>
        </w:trPr>
        <w:tc>
          <w:tcPr>
            <w:tcW w:type="dxa" w:w="2160"/>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Etapa</w:t>
            </w:r>
          </w:p>
        </w:tc>
        <w:tc>
          <w:tcPr>
            <w:tcW w:type="dxa" w:w="7920"/>
            <w:tcBorders>
              <w:top w:val="single" w:sz="4" w:color="D9D9D9"/>
              <w:left w:val="single" w:sz="4" w:color="D9D9D9"/>
              <w:bottom w:val="single" w:sz="4" w:color="D9D9D9"/>
              <w:right w:val="single" w:sz="4" w:color="D9D9D9"/>
            </w:tcBorders>
            <w:shd w:fill="17344D"/>
          </w:tcPr>
          <w:p>
            <w:pPr>
              <w:spacing w:line="264" w:lineRule="auto" w:before="80" w:after="80"/>
            </w:pPr>
            <w:r>
              <w:rPr>
                <w:b/>
                <w:color w:val="FFFFFF"/>
                <w:sz w:val="17"/>
              </w:rPr>
              <w:t>Evidencia necesaria</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Funcional</w:t>
            </w:r>
          </w:p>
        </w:tc>
        <w:tc>
          <w:tcPr>
            <w:tcW w:type="dxa" w:w="7920"/>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Recorrido firmado por un representante de cada actor.</w:t>
            </w:r>
          </w:p>
        </w:tc>
      </w:tr>
      <w:tr>
        <w:trPr>
          <w:cantSplit/>
        </w:trPr>
        <w:tc>
          <w:tcPr>
            <w:tcW w:type="dxa" w:w="2160"/>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Datos</w:t>
            </w:r>
          </w:p>
        </w:tc>
        <w:tc>
          <w:tcPr>
            <w:tcW w:type="dxa" w:w="7920"/>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Reconciliación entre zonas y plazas físicas y registros.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Visión</w:t>
            </w:r>
          </w:p>
        </w:tc>
        <w:tc>
          <w:tcPr>
            <w:tcW w:type="dxa" w:w="7920"/>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Conjunto de imágenes etiquetadas; tasa de acierto y error por condición de luz.</w:t>
            </w:r>
          </w:p>
        </w:tc>
      </w:tr>
      <w:tr>
        <w:trPr>
          <w:cantSplit/>
        </w:trPr>
        <w:tc>
          <w:tcPr>
            <w:tcW w:type="dxa" w:w="2160"/>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Seguridad</w:t>
            </w:r>
          </w:p>
        </w:tc>
        <w:tc>
          <w:tcPr>
            <w:tcW w:type="dxa" w:w="7920"/>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Pruebas de permisos, sesiones, configuración y exposición de datos.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Continuidad</w:t>
            </w:r>
          </w:p>
        </w:tc>
        <w:tc>
          <w:tcPr>
            <w:tcW w:type="dxa" w:w="7920"/>
            <w:tcBorders>
              <w:top w:val="single" w:sz="4" w:color="D9D9D9"/>
              <w:left w:val="single" w:sz="4" w:color="D9D9D9"/>
              <w:bottom w:val="single" w:sz="4" w:color="D9D9D9"/>
              <w:right w:val="single" w:sz="4" w:color="D9D9D9"/>
            </w:tcBorders>
            <w:shd w:fill="FFFFFF"/>
          </w:tcPr>
          <w:p>
            <w:pPr>
              <w:spacing w:line="264" w:lineRule="auto" w:before="80" w:after="80"/>
            </w:pPr>
            <w:r>
              <w:rPr>
                <w:b w:val="0"/>
                <w:color w:val="000000"/>
                <w:sz w:val="17"/>
              </w:rPr>
              <w:t>Respaldo y restauración comprobados en entorno separado.</w:t>
            </w:r>
          </w:p>
        </w:tc>
      </w:tr>
      <w:tr>
        <w:trPr>
          <w:cantSplit/>
        </w:trPr>
        <w:tc>
          <w:tcPr>
            <w:tcW w:type="dxa" w:w="2160"/>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Usabilidad</w:t>
            </w:r>
          </w:p>
        </w:tc>
        <w:tc>
          <w:tcPr>
            <w:tcW w:type="dxa" w:w="7920"/>
            <w:tcBorders>
              <w:top w:val="single" w:sz="4" w:color="D9D9D9"/>
              <w:left w:val="single" w:sz="4" w:color="D9D9D9"/>
              <w:bottom w:val="single" w:sz="4" w:color="D9D9D9"/>
              <w:right w:val="single" w:sz="4" w:color="D9D9D9"/>
            </w:tcBorders>
            <w:shd w:fill="F1F5F8"/>
          </w:tcPr>
          <w:p>
            <w:pPr>
              <w:spacing w:line="264" w:lineRule="auto" w:before="80" w:after="80"/>
            </w:pPr>
            <w:r>
              <w:rPr>
                <w:b w:val="0"/>
                <w:color w:val="000000"/>
                <w:sz w:val="17"/>
              </w:rPr>
              <w:t>Tiempo, errores y satisfacción en tareas de cada perfil.</w:t>
            </w:r>
          </w:p>
        </w:tc>
      </w:tr>
    </w:tbl>
    <w:p>
      <w:pPr>
        <w:spacing w:after="40"/>
      </w:pPr>
    </w:p>
    <w:p>
      <w:r>
        <w:t>Referencias de implementación: código NEXO PARK V30, migraciones SQL 01 a 09, catálogo PostgreSQL ejecutado y diagrama de nueve módulos proporcionado. Referencia de formato Dia: documentación oficial GNOME, https://wiki.gnome.org/Apps/Dia.</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NEXO PARK V30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NEXO PARK   /   EMI UALP   /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