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MOEA/D com Adaptive Operator Selection para o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Problema de Máxima Diversidade Bi-objetivo</w:t>
      </w:r>
    </w:p>
    <w:p>
      <w:pPr>
        <w:spacing w:after="600" w:before="0"/>
        <w:jc w:val="center"/>
      </w:pPr>
      <w:r>
        <w:rPr>
          <w:rFonts w:ascii="Arial" w:cs="Arial" w:eastAsia="Arial" w:hAnsi="Arial"/>
          <w:i/>
          <w:iCs/>
          <w:color w:val="2E75B6"/>
          <w:sz w:val="28"/>
          <w:szCs w:val="28"/>
        </w:rPr>
        <w:t xml:space="preserve">Análise Técnica Completa e Roadmap para Publicação no EJOR</w:t>
      </w:r>
    </w:p>
    <w:p>
      <w:pPr>
        <w:pStyle w:val="Heading1"/>
      </w:pPr>
      <w:r>
        <w:t xml:space="preserve">1. Sumário Executivo</w:t>
      </w:r>
    </w:p>
    <w:p>
      <w:pPr>
        <w:spacing w:after="160"/>
      </w:pPr>
      <w:r>
        <w:t xml:space="preserve">Este documento consolida a análise técnica completa do repositório moead-aos-bdp, mapeando o que já foi construído, os pontos fortes, os bugs críticos que devem ser corrigidos antes de qualquer submissão, e as melhorias algorítmicas e experimentais necessárias para um artigo competitivo no European Journal of Operational Research (EJOR).</w:t>
      </w:r>
    </w:p>
    <w:p>
      <w:pPr>
        <w:spacing w:after="160"/>
      </w:pPr>
      <w:r>
        <w:t xml:space="preserve">O trabalho propõe a primeira aplicação do framework MOEA/D com Adaptive Operator Selection (AOS) ao Problema de Máxima Diversidade Bi-objetivo (BODP), combinando decomposição de Tchebycheff com seleção dinâmica de operadores via UCB1/Thompson Sampling. A ideia central é sólida e o framework está razoavelmente implementado — mas há </w:t>
      </w:r>
      <w:r>
        <w:rPr>
          <w:b/>
          <w:bCs/>
        </w:rPr>
        <w:t xml:space="preserve">um conjunto crítico de problemas técnicos e experimentais</w:t>
      </w:r>
      <w:r>
        <w:t xml:space="preserve"> que impediria aceitação no EJOR no estado atual.</w:t>
      </w:r>
    </w:p>
    <w:p>
      <w:pPr>
        <w:pBdr>
          <w:bottom w:val="single" w:color="2E75B6" w:sz="6"/>
        </w:pBdr>
        <w:spacing w:after="200" w:before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Componente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Formulação do problema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✅  Correta. MaxSum + MaxMin bem definidos, avaliação incremental implementada.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Algoritmo principal (MOEA/D-AOS)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✅  Estrutura sólida. UCB1, Thompson Sampling, recompensas HV e escalar implementados.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Pool de operadores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⚠️  4 operadores funcionais, mas BestSwap é mono-objetivo (só MaxSum). Faltam operadores bi-objetivo conscientes.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Baseline GRASP-MO / GRASP-PR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✅  Implementados. GRASP-PR alinha com Colmenar et al. (2021), a referência direta do campo.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Baseline NSGA-II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✅  Implementado com torneio, crowding distance e arquivo externo.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Cálculo do Hipervolume (HV)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🔴  BUG CRÍTICO: HV = 0 em todas as instâncias SOM-b (n ≥ 300). Falha de normalização do ponto de referência.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Conjunto de instâncias testadas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🔴  Apenas famílias SOM-a e SOM-b. Instâncias GKD-b, GKD-c, MDG-b e CDP não foram usadas. EJOR exige abrangência.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Análise estatística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⚠️  Framework Wilcoxon presente mas não executado. Friedman + Bonferroni-Holm ausentes. Indispensável para EJOR.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Comparação com estado da arte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🔴  MOEA/D-DYTS (Sun &amp; Li 2020) não implementado. É o concorrente direto mais recente no MOEA/D-AOS.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Posicionamento de contribuição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⚠️  Contribuição existe mas precisa de articulação mais clara frente à literatura de AOS e MDP bi-objetivo.</w:t>
            </w:r>
          </w:p>
        </w:tc>
      </w:tr>
    </w:tbl>
    <w:p>
      <w:pPr>
        <w:spacing w:after="400"/>
      </w:pPr>
    </w:p>
    <w:p>
      <w:pPr>
        <w:pStyle w:val="Heading1"/>
      </w:pPr>
      <w:r>
        <w:t xml:space="preserve">2. O Problema: MDP Bi-objetivo (BODP)</w:t>
      </w:r>
    </w:p>
    <w:p>
      <w:pPr>
        <w:pStyle w:val="Heading2"/>
      </w:pPr>
      <w:r>
        <w:t xml:space="preserve">2.1 Formulação</w:t>
      </w:r>
    </w:p>
    <w:p>
      <w:pPr>
        <w:spacing w:after="160"/>
      </w:pPr>
      <w:r>
        <w:t xml:space="preserve">Dado um conjunto de n elementos com distâncias par-a-par D[i,j], o BODP consiste em selecionar um subconjunto S com |S| = m elementos que maximize simultaneamente dois critérios: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MaxSum(S) = Σ_{i&lt;j, i,j∈S} D[i,j]  (diversidade total agregada)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MaxMin(S) = min_{i&lt;j, i,j∈S} D[i,j]  (menor distância interna — diversidade de garantia)</w:t>
      </w:r>
    </w:p>
    <w:p>
      <w:pPr>
        <w:spacing w:after="120"/>
      </w:pPr>
    </w:p>
    <w:p>
      <w:pPr>
        <w:spacing w:after="160"/>
      </w:pPr>
      <w:r>
        <w:t xml:space="preserve">Os dois objetivos são conflitantes: maximizar a soma pode sacrificar a menor distância e vice-versa. A solução consiste em uma </w:t>
      </w:r>
      <w:r>
        <w:rPr>
          <w:b/>
          <w:bCs/>
        </w:rPr>
        <w:t xml:space="preserve">aproximação da frente de Pareto</w:t>
      </w:r>
      <w:r>
        <w:t xml:space="preserve"> — conjunto de soluções não-dominadas que representa os trade-offs ótimos.</w:t>
      </w:r>
    </w:p>
    <w:p>
      <w:pPr>
        <w:spacing w:after="160"/>
      </w:pPr>
      <w:r>
        <w:t xml:space="preserve">O problema é NP-hard mesmo na versão mono-objetivo (MaxSum), com espaço de busca C(n,m). Para n=500, m=50, isso corresponde a ~10^87 soluções possíveis.</w:t>
      </w:r>
    </w:p>
    <w:p>
      <w:pPr>
        <w:pStyle w:val="Heading2"/>
      </w:pPr>
      <w:r>
        <w:t xml:space="preserve">2.2 Relevância para o EJOR</w:t>
      </w:r>
    </w:p>
    <w:p>
      <w:pPr>
        <w:spacing w:after="160"/>
      </w:pPr>
      <w:r>
        <w:t xml:space="preserve">O EJOR classifica artigos de metaheurísticas em Discrete Optimization e Computational Intelligence and Information Management. Para ser aceito, o artigo deve demonstrar: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Relevância prática do problema (aplicações reais de diversidade: genética, portfólio, sensores, p-dispersão)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Contribuição metodológica clara (por que AOS melhora MOEA/D neste contexto)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Experimentos computacionais rigorosos em instâncias padronizadas com análise estatística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Comparação honesta com métodos do estado da arte</w:t>
      </w:r>
    </w:p>
    <w:p>
      <w:pPr>
        <w:spacing w:after="120"/>
      </w:pPr>
    </w:p>
    <w:p>
      <w:pPr>
        <w:spacing w:after="160"/>
      </w:pPr>
      <w:r>
        <w:rPr>
          <w:b/>
          <w:bCs/>
        </w:rPr>
        <w:t xml:space="preserve">Ponto forte atual:</w:t>
      </w:r>
      <w:r>
        <w:t xml:space="preserve"> O MDPLIB 2.0 (Martí et al., 2021) é a biblioteca de benchmark padrão do campo, e o projeto já usa essas instâncias. Isso é essencial para reprodutibilidade e comparabilidade.</w:t>
      </w:r>
    </w:p>
    <w:p>
      <w:pPr>
        <w:pStyle w:val="Heading1"/>
      </w:pPr>
      <w:r>
        <w:t xml:space="preserve">3. Estado da Arte — O que o EJOR Vai Perguntar</w:t>
      </w:r>
    </w:p>
    <w:p>
      <w:pPr>
        <w:pStyle w:val="Heading2"/>
      </w:pPr>
      <w:r>
        <w:t xml:space="preserve">3.1 Literatura sobre BODP</w:t>
      </w:r>
    </w:p>
    <w:p>
      <w:pPr>
        <w:spacing w:after="160"/>
      </w:pPr>
      <w:r>
        <w:t xml:space="preserve">O campo do MDP bi-objetivo tem produção modesta mas relevante. Os trabalhos mais importantes que precisam estar no artigo: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382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Referência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Método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Relevância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Colmenar et al. (2021) Electronics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MO-GRASP + busca local bi-obj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REFERÊNCIA DIRETA — primeiros a propor GRASP multi-objetivo para BODP. Usa MDPLIB 2.0. Deve ser comparado.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Lozano-Osorio et al. (2023) Soft Computing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Reactive Path Relinking bi-objetivo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Evolução do GRASP-PR para p-Median/p-Dispersion bi-objetivo. Aproxima o BODP.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Martí et al. (2022) EJOR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Survey — discrete diversity/dispersion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Review no EJOR — define o contexto do problema, deve ser citado extensamente.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Martí et al. (2021) GRAFO/OR Letters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MDPLIB 2.0 library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Biblioteca de benchmarks usada — citar obrigatoriamente.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Duarte et al. (2013) EJOR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Hybrid metaheuristic (MAMDP)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Método heurístico clássico para MDP mono-objetivo. Base histórica.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3.2 Literatura sobre MOEA/D com AOS</w:t>
      </w:r>
    </w:p>
    <w:p>
      <w:pPr>
        <w:spacing w:after="160"/>
      </w:pPr>
      <w:r>
        <w:t xml:space="preserve">Esta é a outra frente de literatura que o artigo precisa cobrir rigorosamente: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38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Referência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Método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Relevância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Zhang &amp; Li (2007) IEEE TEC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MOEA/D original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Base do algoritmo proposto. Já citado no código.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DaCosta et al. (2008) GECCO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MOEA/D-AOS com MAB (UCB1)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Fundação teórica do AOS via bandit — já citado.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Gonçalves et al. (2015) PPSN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MOEA/D-UCB1, UCB-T, UCB-V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Variantes UCB para MOEA/D — trabalho mais próximo do que foi implementado. OBRIGATÓRIO citar.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Sun &amp; Li (2020) PPSN / arXiv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MOEA/D-DYTS (Dynamic Thompson Sampling)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CONCORRENTE DIRETO. Thompson dinâmico supera UCB1 em benchmarks contínuos. Precisa ser implementado e comparado.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Liu et al. (2022) CIS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MOEA/D-CTAOS (classificação)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AOS via árvore de classificação — estado da arte recente. Mencionar e posicionar.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MOEA/D-QL (2024) GECCO/Springer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AOS via Q-learning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Mais recente — posicionar o trabalho como MAB vs. RL para AOS.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3.3 Gap de Contribuição — O que o Artigo Pode Afirmar</w:t>
      </w:r>
    </w:p>
    <w:p>
      <w:pPr>
        <w:spacing w:after="160"/>
      </w:pPr>
      <w:r>
        <w:t xml:space="preserve">Com base no levantamento, a contribuição original deste trabalho pode ser articulada como: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Primeira aplicação do MOEA/D-AOS ao BODP: Nenhum trabalho anterior aplica decomposição por Tchebycheff com AOS ao MDP bi-objetivo.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Comparação entre recompensas (HV vs. escalar) em contexto combinatório: a maioria das obras AOS usa benchmarks contínuos; este artigo estende para problemas discretos de subconjunto.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UCB1 com janela deslizante vs. Thompson Sampling vs. random: ablação sistematizada sobre recompensas e mecanismos de seleção em contexto combinatório.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Warm-start GRASP guiado por peso: inicialização populacional que cobre a frente de Pareto desde a primeira geração — elemento diferencial raramente explorado em MOEA/D para problemas discretos.</w:t>
      </w:r>
    </w:p>
    <w:p>
      <w:pPr>
        <w:spacing w:after="120"/>
      </w:pPr>
    </w:p>
    <w:p>
      <w:pPr>
        <w:spacing w:after="160"/>
      </w:pPr>
      <w:r>
        <w:rPr>
          <w:b/>
          <w:bCs/>
        </w:rPr>
        <w:t xml:space="preserve">Limitação a ser reconhecida:</w:t>
      </w:r>
      <w:r>
        <w:t xml:space="preserve"> A versão atual não supera GRASP-PR em instâncias pequenas (SOM-a). O artigo precisa justificar por que MOEA/D-AOS é relevante mesmo assim — a resposta está na escalabilidade e na interpretabilidade do mecanismo AOS.</w:t>
      </w:r>
    </w:p>
    <w:p>
      <w:pPr>
        <w:pStyle w:val="Heading1"/>
      </w:pPr>
      <w:r>
        <w:t xml:space="preserve">4. Bugs Críticos — Corrigir Antes de Qualquer Experimento</w:t>
      </w:r>
    </w:p>
    <w:p>
      <w:pPr>
        <w:pStyle w:val="Heading2"/>
      </w:pPr>
      <w:r>
        <w:t xml:space="preserve">4.1 [CRÍTICO] HV = 0 em Instâncias Grandes (SOM-b, n ≥ 300)</w:t>
      </w:r>
    </w:p>
    <w:p>
      <w:pPr>
        <w:spacing w:after="160"/>
      </w:pPr>
      <w:r>
        <w:rPr>
          <w:b/>
          <w:bCs/>
        </w:rPr>
        <w:t xml:space="preserve">Sintoma:</w:t>
      </w:r>
      <w:r>
        <w:t xml:space="preserve"> Para todas as 8 instâncias SOM-b (n=300–500), 179 de 461 linhas do summary.csv têm hv_mean=0.0, embora pareto_size_mean=1.0 e os valores de epsilon estejam na faixa de 25–480, indicando que as soluções existem.</w:t>
      </w:r>
    </w:p>
    <w:p>
      <w:pPr>
        <w:spacing w:after="160"/>
      </w:pPr>
      <w:r>
        <w:rPr>
          <w:b/>
          <w:bCs/>
        </w:rPr>
        <w:t xml:space="preserve">Causa raiz:</w:t>
      </w:r>
      <w:r>
        <w:t xml:space="preserve"> A função build_ref_point() em experiment.py usa:</w:t>
      </w:r>
    </w:p>
    <w:p>
      <w:pPr>
        <w:spacing w:after="1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ref_point = [f1_min_across_ALL_fronts * 0.9, f2_min_across_ALL_fronts * 0.9]</w:t>
      </w:r>
    </w:p>
    <w:p>
      <w:pPr>
        <w:spacing w:after="160"/>
      </w:pPr>
      <w:r>
        <w:t xml:space="preserve">Em instâncias grandes, MaxSum pode assumir valores na casa dos milhões enquanto MaxMin assume valores próximos de zero. O produto HV = (MaxSum - ref[0]) * (MaxMin - ref[1]) fica na faixa 10⁻⁵ que, arredondado a 5 casas decimais pelo round(..., 5), se torna 0.00000.</w:t>
      </w:r>
    </w:p>
    <w:p>
      <w:pPr>
        <w:spacing w:after="160"/>
      </w:pPr>
      <w:r>
        <w:rPr>
          <w:b/>
          <w:bCs/>
        </w:rPr>
        <w:t xml:space="preserve">Solução:</w:t>
      </w:r>
      <w:r>
        <w:t xml:space="preserve"> Usar </w:t>
      </w:r>
      <w:r>
        <w:rPr>
          <w:b/>
          <w:bCs/>
        </w:rPr>
        <w:t xml:space="preserve">Hypervolume Normalizado (HVN)</w:t>
      </w:r>
      <w:r>
        <w:t xml:space="preserve">:</w:t>
      </w:r>
    </w:p>
    <w:p>
      <w:pPr>
        <w:spacing w:after="120"/>
      </w:pPr>
      <w:r>
        <w:rPr>
          <w:rFonts w:ascii="Courier New" w:cs="Courier New" w:eastAsia="Courier New" w:hAnsi="Courier New"/>
          <w:color w:val="27AE60"/>
          <w:sz w:val="20"/>
          <w:szCs w:val="20"/>
        </w:rPr>
        <w:t xml:space="preserve">    HVN = HV(approx, ref_pt) / HV(reference_front, ref_pt)</w:t>
      </w:r>
    </w:p>
    <w:p>
      <w:pPr>
        <w:spacing w:after="160"/>
      </w:pPr>
      <w:r>
        <w:t xml:space="preserve">O ponto de referência deve ser construído como nadir_point * (1 + margin) onde nadir_point é o pior objetivo em cada coordenada da </w:t>
      </w:r>
      <w:r>
        <w:rPr>
          <w:i/>
          <w:iCs/>
        </w:rPr>
        <w:t xml:space="preserve">frente de referência</w:t>
      </w:r>
      <w:r>
        <w:t xml:space="preserve"> (não de todos os métodos). O HVN fica em [0, 1] tornando comparações entre instâncias de tamanhos diferentes válidas. Este é o padrão do campo (Zitzler et al., 2003).</w:t>
      </w:r>
    </w:p>
    <w:p>
      <w:pPr>
        <w:pStyle w:val="Heading2"/>
      </w:pPr>
      <w:r>
        <w:t xml:space="preserve">4.2 [CRÍTICO] Apenas SOM-a e SOM-b Testadas</w:t>
      </w:r>
    </w:p>
    <w:p>
      <w:pPr>
        <w:spacing w:after="160"/>
      </w:pPr>
      <w:r>
        <w:t xml:space="preserve">O diretório instances/ contém 6 famílias (GKD-b, GKD-c, MDG-b, SOM-a, SOM-b, CDP), mas experiment.py por padrão usa families='GKD-b,SOM-a'. O summary.csv existente só contém SOM-a e SOM-b — o arquivo de catálogo pode estar apontando apenas para essas famílias.</w:t>
      </w:r>
    </w:p>
    <w:p>
      <w:pPr>
        <w:spacing w:after="160"/>
      </w:pPr>
      <w:r>
        <w:rPr>
          <w:b/>
          <w:bCs/>
        </w:rPr>
        <w:t xml:space="preserve">Impacto no EJOR:</w:t>
      </w:r>
      <w:r>
        <w:t xml:space="preserve"> Resultados em apenas 1–2 famílias são insuficientes. O artigo de Colmenar et al. (2021) usa 6 famílias do MDPLIB 2.0. O EJOR exigirá diversidade de instâncias para validar a generalidade do método.</w:t>
      </w:r>
    </w:p>
    <w:p>
      <w:pPr>
        <w:spacing w:after="160"/>
      </w:pPr>
      <w:r>
        <w:rPr>
          <w:b/>
          <w:bCs/>
        </w:rPr>
        <w:t xml:space="preserve">Ação:</w:t>
      </w:r>
      <w:r>
        <w:t xml:space="preserve"> (1) Verificar e corrigir o catalog.csv para incluir todas as famílias. (2) Rodar experimentos completos em GKD-b (n=50–150), GKD-c (n=500), MDG-b (n=500), SOM-a (n=25–150), SOM-b (n=300–500).</w:t>
      </w:r>
    </w:p>
    <w:p>
      <w:pPr>
        <w:pStyle w:val="Heading2"/>
      </w:pPr>
      <w:r>
        <w:t xml:space="preserve">4.3 [MÉDIO] Inconsistência no Budget Scaling para n=300–500</w:t>
      </w:r>
    </w:p>
    <w:p>
      <w:pPr>
        <w:spacing w:after="160"/>
      </w:pPr>
      <w:r>
        <w:t xml:space="preserve">A função budget_for() em experiment.py tem uma inconsistência: para n ≤ 300, T=75, max_gen=800 (produto=60,000 avaliações), mas para n ≤ 500, T=60, max_gen=600 (produto=36,000 avaliações) — </w:t>
      </w:r>
      <w:r>
        <w:rPr>
          <w:b/>
          <w:bCs/>
        </w:rPr>
        <w:t xml:space="preserve">menos avaliações para instâncias maiores!</w:t>
      </w:r>
      <w:r>
        <w:t xml:space="preserve"> Isso é matematicamente inconsistente e favorece artificialmente os métodos mais eficientes em instâncias grandes.</w:t>
      </w:r>
    </w:p>
    <w:p>
      <w:pPr>
        <w:spacing w:after="160"/>
      </w:pPr>
      <w:r>
        <w:rPr>
          <w:b/>
          <w:bCs/>
        </w:rPr>
        <w:t xml:space="preserve">Correção:</w:t>
      </w:r>
      <w:r>
        <w:t xml:space="preserve"> Tornar o orçamento monotonicamente crescente com n. Para n=300–500, usar T=100, max_gen=1000 (100,000 avaliações), ou documentar e justificar o critério de tempo fixo.</w:t>
      </w:r>
    </w:p>
    <w:p>
      <w:pPr>
        <w:pStyle w:val="Heading2"/>
      </w:pPr>
      <w:r>
        <w:t xml:space="preserve">4.4 [MÉDIO] Thompson Sampling com Recompensa Binária</w:t>
      </w:r>
    </w:p>
    <w:p>
      <w:pPr>
        <w:spacing w:after="160"/>
      </w:pPr>
      <w:r>
        <w:t xml:space="preserve">A implementação atual do ThompsonSelector converte a recompensa contínua para binária (1 se r &gt; 0, else 0), usando um modelo Beta(α, β). Isso desperdiça informação: dois operadores que produzem recompensas 0.001 e 100.0 recebem o mesmo sinal 'positivo'.</w:t>
      </w:r>
    </w:p>
    <w:p>
      <w:pPr>
        <w:spacing w:after="160"/>
      </w:pPr>
      <w:r>
        <w:t xml:space="preserve">O artigo de Sun &amp; Li (2020) — referência direta de Thompson Sampling para MOEA/D — usa Thompson Sampling </w:t>
      </w:r>
      <w:r>
        <w:rPr>
          <w:i/>
          <w:iCs/>
        </w:rPr>
        <w:t xml:space="preserve">dinâmico</w:t>
      </w:r>
      <w:r>
        <w:t xml:space="preserve"> (DYTS) com distribuição Normal-inverse-gamma para recompensas contínuas. A versão binária é substancialmente mais fraca e prejudica a comparação justa.</w:t>
      </w:r>
    </w:p>
    <w:p>
      <w:pPr>
        <w:spacing w:after="160"/>
      </w:pPr>
      <w:r>
        <w:rPr>
          <w:b/>
          <w:bCs/>
        </w:rPr>
        <w:t xml:space="preserve">Ação:</w:t>
      </w:r>
      <w:r>
        <w:t xml:space="preserve"> Implementar MOEA/D-DYTS conforme Sun &amp; Li (2020) para servir tanto como baseline quanto como versão melhorada do Thompson Sampling.</w:t>
      </w:r>
    </w:p>
    <w:p>
      <w:pPr>
        <w:pStyle w:val="Heading2"/>
      </w:pPr>
      <w:r>
        <w:t xml:space="preserve">4.5 [BAIXO] Operador BestSwap1x1 é Mono-objetivo</w:t>
      </w:r>
    </w:p>
    <w:p>
      <w:pPr>
        <w:spacing w:after="160"/>
      </w:pPr>
      <w:r>
        <w:t xml:space="preserve">O operador BestSwap1x1 seleciona o elemento externo que maximiza a contribuição marginal ao MaxSum, ignorando completamente o MaxMin. Para um problema bi-objetivo, todos os operadores de busca local deveriam considerar a estrutura bi-objetivo da vizinhança.</w:t>
      </w:r>
    </w:p>
    <w:p>
      <w:pPr>
        <w:spacing w:after="160"/>
      </w:pPr>
      <w:r>
        <w:rPr>
          <w:b/>
          <w:bCs/>
        </w:rPr>
        <w:t xml:space="preserve">Melhoria sugerida:</w:t>
      </w:r>
      <w:r>
        <w:t xml:space="preserve"> Adicionar um operador 'BestSwapBiObj' que usa a função de Tchebycheff do subproblema atual para avaliar trocas — aproveitando que o MOEA/D já decompõe o problema.</w:t>
      </w:r>
    </w:p>
    <w:p>
      <w:pPr>
        <w:pStyle w:val="Heading1"/>
      </w:pPr>
      <w:r>
        <w:t xml:space="preserve">5. Pontos Fortes do Trabalho Atual</w:t>
      </w:r>
    </w:p>
    <w:p>
      <w:pPr>
        <w:pStyle w:val="Heading2"/>
      </w:pPr>
      <w:r>
        <w:t xml:space="preserve">5.1 Warm-Start GRASP Guiado por Peso — Diferencial Importante</w:t>
      </w:r>
    </w:p>
    <w:p>
      <w:pPr>
        <w:spacing w:after="160"/>
      </w:pPr>
      <w:r>
        <w:t xml:space="preserve">A inicialização proposta (método _grasp_init) constrói cada solução da população usando o próprio vetor de pesos λ do subproblema: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score = λ[0] * delta_sum + λ[1] * min_dist</w:t>
      </w:r>
    </w:p>
    <w:p>
      <w:pPr>
        <w:spacing w:after="160"/>
      </w:pPr>
      <w:r>
        <w:t xml:space="preserve">Isso é elegante e matematicamente coerente com a decomposição de Tchebycheff: cada subproblema começa com uma solução já orientada em sua direção da frente de Pareto. Esta ideia é original no contexto do BODP e merece ser apresentada como contribuição independente com análise ablativa (MOEA/D com warm-start vs. inicialização aleatória).</w:t>
      </w:r>
    </w:p>
    <w:p>
      <w:pPr>
        <w:pStyle w:val="Heading2"/>
      </w:pPr>
      <w:r>
        <w:t xml:space="preserve">5.2 Framework AOS Bem Estruturado</w:t>
      </w:r>
    </w:p>
    <w:p>
      <w:pPr>
        <w:spacing w:after="160"/>
      </w:pPr>
      <w:r>
        <w:t xml:space="preserve">A interface uniforme dos seletores (UCBSelector, ThompsonSelector, RandomSelector) com os métodos select(), update(), q_values() e counts() está bem projetada. Permite ablação limpa e adição de novos seletores sem modificar o algoritmo principal. O design é adequado para publicação.</w:t>
      </w:r>
    </w:p>
    <w:p>
      <w:pPr>
        <w:pStyle w:val="Heading2"/>
      </w:pPr>
      <w:r>
        <w:t xml:space="preserve">5.3 Métricas Multidimensionais</w:t>
      </w:r>
    </w:p>
    <w:p>
      <w:pPr>
        <w:spacing w:after="160"/>
      </w:pPr>
      <w:r>
        <w:t xml:space="preserve">A implementação das métricas HV, C-metric (Set Coverage) e Epsilon-Indicator em metrics.py cobre os indicadores padrão da literatura multiobjetivo (Zitzler et al., 2003). A análise usando múltiplos indicadores é esperada pelo EJOR.</w:t>
      </w:r>
    </w:p>
    <w:p>
      <w:pPr>
        <w:pStyle w:val="Heading2"/>
      </w:pPr>
      <w:r>
        <w:t xml:space="preserve">5.4 Resultados Preliminares Encorajadores (SOM-a)</w:t>
      </w:r>
    </w:p>
    <w:p>
      <w:pPr>
        <w:spacing w:after="160"/>
      </w:pPr>
      <w:r>
        <w:t xml:space="preserve">Na família SOM-a (n=25–150), o MOEA/D-AOS-HV obtém rank médio 2.72 — melhor que GRASP (4.42) e GRASP-PR (5.16) — indicando que a abordagem tem mérito real para instâncias de médio porte. Este é o argumento central do artigo.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1800"/>
        <w:gridCol w:w="222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Método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Rank Médio ↓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HV Médio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Desvio HV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MOEAD-AOS-HV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2.72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99.93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108.05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MOEAD-AOS-scalar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3.04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101.11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109.30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MOEAD-Thompson-HV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4.30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97.68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105.08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MOEAD-Thompson-scalar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4.28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99.42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107.25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MOEAD-random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4.90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99.09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106.73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GRASP-MO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4.42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106.45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112.79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GRASP-PR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5.16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106.13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112.19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NSGA-II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7.18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61.17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76.04</w:t>
            </w:r>
          </w:p>
        </w:tc>
      </w:tr>
    </w:tbl>
    <w:p>
      <w:pPr>
        <w:spacing w:after="300" w:before="80"/>
      </w:pPr>
      <w:r>
        <w:rPr>
          <w:i/>
          <w:iCs/>
          <w:color w:val="666666"/>
          <w:sz w:val="18"/>
          <w:szCs w:val="18"/>
        </w:rPr>
        <w:t xml:space="preserve">Tabela: Rank médio e HV médio na família SOM-a (50 instâncias, n=25–150). Rank calculado por instância (1=melhor, 8=pior).</w:t>
      </w:r>
    </w:p>
    <w:p>
      <w:pPr>
        <w:pStyle w:val="Heading1"/>
      </w:pPr>
      <w:r>
        <w:t xml:space="preserve">6. Melhorias Algorítmicas para um Artigo EJOR</w:t>
      </w:r>
    </w:p>
    <w:p>
      <w:pPr>
        <w:pStyle w:val="Heading2"/>
      </w:pPr>
      <w:r>
        <w:t xml:space="preserve">6.1 Adicionar MOEA/D-DYTS como Baseline Forte</w:t>
      </w:r>
    </w:p>
    <w:p>
      <w:pPr>
        <w:spacing w:after="160"/>
      </w:pPr>
      <w:r>
        <w:t xml:space="preserve">Sun &amp; Li (2020, PPSN) propõem Dynamic Thompson Sampling para MOEA/D, onde cada operador tem uma distribuição Normal-inverse-gamma atualizada com recompensas contínuas e um mecanismo de janela deslizante dinâmica. Os resultados mostram superioridade sobre UCB1 em benchmarks ZDT e DTLZ.</w:t>
      </w:r>
    </w:p>
    <w:p>
      <w:pPr>
        <w:spacing w:after="160"/>
      </w:pPr>
      <w:r>
        <w:rPr>
          <w:b/>
          <w:bCs/>
        </w:rPr>
        <w:t xml:space="preserve">Ação:</w:t>
      </w:r>
      <w:r>
        <w:t xml:space="preserve"> Implementar MOEA/D-DYTS e adicioná-lo ao pool de comparações. Se MOEA/D-AOS-HV (proposto) superar DYTS no contexto combinatório do BODP, isso fortalece significativamente a contribuição.</w:t>
      </w:r>
    </w:p>
    <w:p>
      <w:pPr>
        <w:pStyle w:val="Heading2"/>
      </w:pPr>
      <w:r>
        <w:t xml:space="preserve">6.2 Enriquecer o Pool de Operadores</w:t>
      </w:r>
    </w:p>
    <w:p>
      <w:pPr>
        <w:spacing w:after="160"/>
      </w:pPr>
      <w:r>
        <w:t xml:space="preserve">O pool atual tem 4 operadores. Para o EJOR, a análise do comportamento AOS (qual operador é preferido e em qual fase da busca) é mais rica com um pool mais diverso: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BiObjBestSwap: troca guiada pela escalarização Tchebycheff do subproblema atual (une MaxSum e MaxMin na decisão)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CrossoverSubset: recombina dois pais da vizinhança preservando elementos comuns (como no NSGA-II, mas integrado ao MOEA/D)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MaxMinSwap: remove o elemento que minimiza a menor distância na solução (atacar o gargalo do MaxMin)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PerturbationLarge: remoção e reinserção de 3+ elementos para escapar de ótimos locais</w:t>
      </w:r>
    </w:p>
    <w:p>
      <w:pPr>
        <w:spacing w:after="120"/>
      </w:pPr>
    </w:p>
    <w:p>
      <w:pPr>
        <w:spacing w:after="160"/>
      </w:pPr>
      <w:r>
        <w:t xml:space="preserve">Com 6–8 operadores, a dinâmica de seleção AOS torna-se mais interpretável e mais interessante para publicação — pode-se mostrar que UCB1 aprende a preferir operadores intensivos no início e diversificadores no final.</w:t>
      </w:r>
    </w:p>
    <w:p>
      <w:pPr>
        <w:pStyle w:val="Heading2"/>
      </w:pPr>
      <w:r>
        <w:t xml:space="preserve">6.3 Análise do Comportamento AOS — Central para o Artigo</w:t>
      </w:r>
    </w:p>
    <w:p>
      <w:pPr>
        <w:spacing w:after="160"/>
      </w:pPr>
      <w:r>
        <w:t xml:space="preserve">Uma contribuição única deste trabalho é a </w:t>
      </w:r>
      <w:r>
        <w:rPr>
          <w:b/>
          <w:bCs/>
        </w:rPr>
        <w:t xml:space="preserve">interpretabilidade</w:t>
      </w:r>
      <w:r>
        <w:t xml:space="preserve"> do mecanismo AOS: ao contrário de algoritmos black-box, o MOEA/D-AOS registra quais operadores foram escolhidos ao longo das gerações. Esta análise deve ser apresentada explicitamente no artigo: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Curvas de seleção de operadores ao longo das gerações (quais dominam no início vs. final)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Correlação entre o Q-value do UCB e a melhoria do HV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Comparação da distribuição de seleção entre famílias de instâncias diferentes (GKD vs. SOM)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Análise da convergência do AOS: em quantas gerações o UCB 'decide' qual operador preferir?</w:t>
      </w:r>
    </w:p>
    <w:p>
      <w:pPr>
        <w:pStyle w:val="Heading2"/>
      </w:pPr>
      <w:r>
        <w:t xml:space="preserve">6.4 Normalização do HV e Comparação Entre Instâncias</w:t>
      </w:r>
    </w:p>
    <w:p>
      <w:pPr>
        <w:spacing w:after="160"/>
      </w:pPr>
      <w:r>
        <w:t xml:space="preserve">O HV atual é absoluto, impossibilitando médias entre instâncias de tamanhos diferentes. Implementar o HVN (Hypervolume Normalizado) com ponto de referência nadir+margem:</w:t>
      </w:r>
    </w:p>
    <w:p>
      <w:pPr>
        <w:spacing w:after="160"/>
      </w:pPr>
      <w:r>
        <w:rPr>
          <w:rFonts w:ascii="Courier New" w:cs="Courier New" w:eastAsia="Courier New" w:hAnsi="Courier New"/>
          <w:sz w:val="20"/>
          <w:szCs w:val="20"/>
        </w:rPr>
        <w:t xml:space="preserve">    ref_pt = nadir * (1 + 0.01)    # 1% abaixo do pior valor
    HVN = HV(front, ref_pt) / HV(ref_front, ref_pt)</w:t>
      </w:r>
    </w:p>
    <w:p>
      <w:pPr>
        <w:spacing w:after="160"/>
      </w:pPr>
      <w:r>
        <w:t xml:space="preserve">Com HVN ∈ [0,1], é possível fazer rankings e médias globais válidos. O ponto de referência nadir deve ser calculado como o pior valor em cada objetivo no conjunto de TODAS as soluções produzidas por TODOS os métodos em TODAS as réplicas de uma instância.</w:t>
      </w:r>
    </w:p>
    <w:p>
      <w:pPr>
        <w:pStyle w:val="Heading2"/>
      </w:pPr>
      <w:r>
        <w:t xml:space="preserve">6.5 Análise de Escalabilidade</w:t>
      </w:r>
    </w:p>
    <w:p>
      <w:pPr>
        <w:spacing w:after="160"/>
      </w:pPr>
      <w:r>
        <w:t xml:space="preserve">O EJOR espera análise de como o método escala. Proposta de experimentos de escalabilidade: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Tempo de CPU vs. n (para n ∈ {50, 150, 300, 500}) com orçamento fixo de avaliações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Qualidade do HVN vs. orçamento computacional (curvas de convergência com log_every ativo)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Tamanho da frente de Pareto aproximada vs. n: o MOEA/D produz frentes mais ricas que GRASP?</w:t>
      </w:r>
    </w:p>
    <w:p>
      <w:pPr>
        <w:pStyle w:val="Heading1"/>
      </w:pPr>
      <w:r>
        <w:t xml:space="preserve">7. Análise Estatística Exigida pelo EJOR</w:t>
      </w:r>
    </w:p>
    <w:p>
      <w:pPr>
        <w:spacing w:after="160"/>
      </w:pPr>
      <w:r>
        <w:t xml:space="preserve">O EJOR exige testes estatísticos não-paramétricos para comparar algoritmos. O módulo analysis.py já tem estrutura para Wilcoxon, mas precisa ser completado:</w:t>
      </w:r>
    </w:p>
    <w:p>
      <w:pPr>
        <w:pStyle w:val="Heading2"/>
      </w:pPr>
      <w:r>
        <w:t xml:space="preserve">7.1 Testes Pairwise — Wilcoxon Signed-Rank</w:t>
      </w:r>
    </w:p>
    <w:p>
      <w:pPr>
        <w:spacing w:after="160"/>
      </w:pPr>
      <w:r>
        <w:t xml:space="preserve">Para cada par de algoritmos (A, B) e cada indicador (HVN, Coverage, Epsilon), calcular o teste de Wilcoxon signed-rank com correção de Bonferroni ou Holm. Reportar p-values e indicar diferenças estatisticamente significativas nas tabelas com marcações (†, ‡, *).</w:t>
      </w:r>
    </w:p>
    <w:p>
      <w:pPr>
        <w:pStyle w:val="Heading2"/>
      </w:pPr>
      <w:r>
        <w:t xml:space="preserve">7.2 Teste Global — Friedman + Nemenyi Post-hoc</w:t>
      </w:r>
    </w:p>
    <w:p>
      <w:pPr>
        <w:spacing w:after="160"/>
      </w:pPr>
      <w:r>
        <w:t xml:space="preserve">O teste de Friedman verifica se existe diferença global entre os k algoritmos. Se significativo, o post-hoc de Nemenyi ou Wilcoxon com ajuste Holm identifica quais pares diferem. Apresentar o Critical Difference Diagram (CD-diagram) como figura — é a forma mais concisa de visualizar rankings estatísticos.</w:t>
      </w:r>
    </w:p>
    <w:p>
      <w:pPr>
        <w:pStyle w:val="Heading2"/>
      </w:pPr>
      <w:r>
        <w:t xml:space="preserve">7.3 Número de Réplicas</w:t>
      </w:r>
    </w:p>
    <w:p>
      <w:pPr>
        <w:spacing w:after="160"/>
      </w:pPr>
      <w:r>
        <w:rPr>
          <w:b/>
          <w:bCs/>
        </w:rPr>
        <w:t xml:space="preserve">Atenção:</w:t>
      </w:r>
      <w:r>
        <w:t xml:space="preserve"> Com n_reps=10, o poder estatístico é baixo para alguns testes. O EJOR tipicamente aceita 10–30 réplicas. Recomendamos aumentar para 20–30 réplicas nas instâncias principais, especialmente para detectar diferenças entre MOEA/D-AOS-HV e GRASP-MO.</w:t>
      </w:r>
    </w:p>
    <w:p>
      <w:pPr>
        <w:pStyle w:val="Heading1"/>
      </w:pPr>
      <w:r>
        <w:t xml:space="preserve">8. Plano de Experimentos Completo para o EJOR</w:t>
      </w:r>
    </w:p>
    <w:p>
      <w:pPr>
        <w:pStyle w:val="Heading2"/>
      </w:pPr>
      <w:r>
        <w:t xml:space="preserve">8.1 Conjunto de Instâncias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500"/>
        <w:gridCol w:w="1500"/>
        <w:gridCol w:w="25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Família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#Instâncias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Características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GKD-b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50–150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5, 15, 45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Densas, distâncias reais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SOM-a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25–150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5–45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Esparsas (Euclidiana)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SOM-b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300–500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40–160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Grandes, desafio real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GKD-c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Densas grandes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MDG-b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Mistas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8.2 Algoritmos a Comparar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MOEA/D-AOS-HV (proposto — UCB1, recompensa HV)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MOEA/D-AOS-scalar (ablação — UCB1, recompensa escalar)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MOEA/D-DYTS (Sun &amp; Li, 2020 — Thompson dinâmico, a implementar)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MOEA/D-random (baseline sem AOS)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GRASP-MO (Colmenar et al., 2021 — baseline de referência do campo)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GRASP-PR (extensão do GRASP-MO com path relinking)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NSGA-II (Deb et al., 2002 — baseline evolucionário clássico)</w:t>
      </w:r>
    </w:p>
    <w:p>
      <w:pPr>
        <w:spacing w:after="120"/>
      </w:pPr>
    </w:p>
    <w:p>
      <w:pPr>
        <w:spacing w:after="160"/>
      </w:pPr>
      <w:r>
        <w:rPr>
          <w:b/>
          <w:bCs/>
        </w:rPr>
        <w:t xml:space="preserve">Opcional mas valioso:</w:t>
      </w:r>
      <w:r>
        <w:t xml:space="preserve"> adicionar a versão MOEA/D-AOS-HV com inicialização aleatória (sem warm-start) como estudo ablativo da contribuição do warm-start GRASP.</w:t>
      </w:r>
    </w:p>
    <w:p>
      <w:pPr>
        <w:pStyle w:val="Heading2"/>
      </w:pPr>
      <w:r>
        <w:t xml:space="preserve">8.3 Protocolo Experimental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30 réplicas independentes por (instância, método)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Orçamento em número de avaliações (não tempo): garante comparação justa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Sementes reproduzíveis: seed = hash((inst.name, mode, rep)) % 2^31 — já implementado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Indicadores: HVN, Set Coverage C(A,B), Epsilon-Indicator I_ε+, |frente de Pareto|, tempo de CPU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Análise estatística: Friedman + Nemenyi, Wilcoxon pairwise com Bonferroni-Holm</w:t>
      </w:r>
    </w:p>
    <w:p>
      <w:pPr>
        <w:pStyle w:val="Heading2"/>
      </w:pPr>
      <w:r>
        <w:t xml:space="preserve">8.4 Cronograma Estimado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826"/>
        <w:gridCol w:w="20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Fase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Atividade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Prazo estimado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 — Correção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Corrigir HV normalizado, budget_for(), catálogo de instâncias, Thompson contínuo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1–2 semanas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 — Algoritmo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Implementar MOEA/D-DYTS, novos operadores (BiObjSwap, CrossoverSubset), análise AOS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2–3 semanas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 — Experimentos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30 réplicas × 7 métodos × ~100 instâncias. Estimativa: 20–50h de CPU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2–4 semanas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 — Análise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Friedman, Wilcoxon, CD-diagram, análise de comportamento AOS, figuras de convergência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1–2 semanas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 — Escrita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Rascunho do artigo seguindo estrutura EJOR (Abstract, Intro, Literature, Algorithm, Experiments, Conclusions)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3–4 semanas</w:t>
            </w:r>
          </w:p>
        </w:tc>
      </w:tr>
    </w:tbl>
    <w:p>
      <w:pPr>
        <w:spacing w:after="300"/>
      </w:pPr>
    </w:p>
    <w:p>
      <w:pPr>
        <w:pStyle w:val="Heading1"/>
      </w:pPr>
      <w:r>
        <w:t xml:space="preserve">9. Estrutura Recomendada do Artigo EJOR</w:t>
      </w:r>
    </w:p>
    <w:p>
      <w:pPr>
        <w:spacing w:after="160"/>
      </w:pPr>
      <w:r>
        <w:t xml:space="preserve">O EJOR aceita artigos de 25–40 páginas (incluindo referências). Para a categoria Theory and Methodology, a estrutura padrão é: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Abstract (250 palavras): problema, método, diferencial, principais resultados numéricos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Introduction: motivação prática do BODP, gap na literatura (nenhuma AOS aplicada ao BODP), contribuições enumeradas claramente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Problem Definition: formulação formal do BODP, propriedades de complexidade, exemplos de aplicações reais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Literature Review: MDP mono e bi-objetivo; MOEA/D e suas variantes; AOS e bandits; GRASP para MDP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Proposed Algorithm (MOEA/D-AOS-BODP): pseudo-código completo, warm-start, pool de operadores com descrição detalhada, reward functions, análise de complexidade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Computational Experiments: setup, instâncias, indicadores, resultados em tabelas (HVN, coverage, epsilon por família), gráficos de convergência e CD-diagram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Analysis of AOS Behavior: curvas de seleção por geração, interpretação dos Q-values, correlação com qualidade da frente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Conclusions: resumo, limitações, trabalhos futuros</w:t>
      </w:r>
    </w:p>
    <w:p>
      <w:pPr>
        <w:spacing w:after="200"/>
      </w:pPr>
    </w:p>
    <w:p>
      <w:pPr>
        <w:pStyle w:val="Heading2"/>
      </w:pPr>
      <w:r>
        <w:t xml:space="preserve">9.1 Mensagem Central do Artigo</w:t>
      </w:r>
    </w:p>
    <w:p>
      <w:pPr>
        <w:spacing w:after="160"/>
      </w:pPr>
      <w:r>
        <w:t xml:space="preserve">A narrativa que o EJOR precisa ver é clara: </w:t>
      </w:r>
      <w:r>
        <w:rPr>
          <w:i/>
          <w:iCs/>
        </w:rPr>
        <w:t xml:space="preserve">por que usar MOEA/D-AOS em vez de simplesmente executar GRASP com múltiplos restarts?</w:t>
      </w:r>
      <w:r>
        <w:t xml:space="preserve"> A resposta está em três pontos: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Interpretabilidade: o AOS revela quais operadores são eficazes em cada fase da busca — insight que múltiplos restarts de GRASP não fornecem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Convergência orientada: a decomposição por subproblemas garante cobertura estruturada da frente de Pareto, enquanto GRASP multi-objetivo faz cobertura estatística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Escalabilidade: em instâncias grandes (n ≥ 300), a exploração coordenada da vizinhança pelo MOEA/D pode superar restarts independentes — hipótese a verificar com os experimentos corrigidos</w:t>
      </w:r>
    </w:p>
    <w:p>
      <w:pPr>
        <w:pStyle w:val="Heading1"/>
      </w:pPr>
      <w:r>
        <w:t xml:space="preserve">10. Melhorias Prioritárias no Código</w:t>
      </w:r>
    </w:p>
    <w:p>
      <w:pPr>
        <w:pStyle w:val="Heading2"/>
      </w:pPr>
      <w:r>
        <w:t xml:space="preserve">10.1 Correção Imediata — Hipervolume Normalizado</w:t>
      </w:r>
    </w:p>
    <w:p>
      <w:pPr>
        <w:spacing w:after="160"/>
      </w:pPr>
      <w:r>
        <w:t xml:space="preserve">Substituir em experiment.py a função compute_indicators e build_ref_point:</w:t>
      </w:r>
    </w:p>
    <w:p>
      <w:pPr>
        <w:spacing w:after="200" w:before="1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def build_nadir_point(all_fronts):
    # Nadir = pior valor em cada objetivo entre todos os métodos
    f1_max = max(f[:, 0].max() for f in all_fronts if len(f) &gt; 0)
    f2_max = max(f[:, 1].max() for f in all_fronts if len(f) &gt; 0)
    f1_min = min(f[:, 0].min() for f in all_fronts if len(f) &gt; 0)
    f2_min = min(f[:, 1].min() for f in all_fronts if len(f) &gt; 0)
    margin = 0.01
    ref_pt = np.array([f1_min - margin * (f1_max - f1_min),
                       f2_min - margin * (f2_max - f2_min)])
    return ref_pt
def compute_indicators(approx, reference, ref_point):
    hv_approx = hypervolume(approx, ref_point)
    hv_ref    = hypervolume(reference, ref_point)
    return {
        'hv': hv_approx,
        'hv_norm': hv_approx / hv_ref if hv_ref &gt; 0 else 0.0,  # &lt;- HVN
        'coverage': set_coverage(approx, reference),
        'epsilon':  epsilon_indicator(approx, reference),
    }</w:t>
      </w:r>
    </w:p>
    <w:p>
      <w:pPr>
        <w:pStyle w:val="Heading2"/>
      </w:pPr>
      <w:r>
        <w:t xml:space="preserve">10.2 Correção do Budget Scaling</w:t>
      </w:r>
    </w:p>
    <w:p>
      <w:pPr>
        <w:spacing w:after="160"/>
      </w:pPr>
      <w:r>
        <w:t xml:space="preserve">Substituir a linha n ≤ 500 em budget_for() para garantir monotonia:</w:t>
      </w:r>
    </w:p>
    <w:p>
      <w:pPr>
        <w:spacing w:after="200" w:before="1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if n &lt;= 500:
    return dict(T=100, max_gen=1000, nbr=20,
                nsga2_pop=120, nsga2_gen=350, grasp_iter=650)</w:t>
      </w:r>
    </w:p>
    <w:p>
      <w:pPr>
        <w:pStyle w:val="Heading2"/>
      </w:pPr>
      <w:r>
        <w:t xml:space="preserve">10.3 Novo Operador Bi-objetivo</w:t>
      </w:r>
    </w:p>
    <w:p>
      <w:pPr>
        <w:spacing w:after="200" w:before="1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class BiObjBestSwap:
    """Troca guiada pela função de Tchebycheff do subproblema."""
    name = 'biobj_best_swap'
    def apply(self, solution, instance, rng, f=None, lam=None, z_star=None):
        # Para cada posição out_idx e candidato in_el:
        #   avalia new_f via evaluate_swap (incremental)
        #   computa g_tch(new_f, lam, z_star)
        #   escolhe a troca que minimiza g_tch
        ...</w:t>
      </w:r>
    </w:p>
    <w:p>
      <w:pPr>
        <w:spacing w:after="160"/>
      </w:pPr>
      <w:r>
        <w:t xml:space="preserve">Este operador requer que lam e z_star sejam passados pelo algoritmo principal — uma pequena adaptação na assinatura do método apply() em MOEAD_AOS._run().</w:t>
      </w:r>
    </w:p>
    <w:p>
      <w:pPr>
        <w:pStyle w:val="Heading1"/>
      </w:pPr>
      <w:r>
        <w:t xml:space="preserve">11. Conclusão — Veredicto Geral</w:t>
      </w:r>
    </w:p>
    <w:p>
      <w:pPr>
        <w:spacing w:after="160"/>
      </w:pPr>
      <w:r>
        <w:t xml:space="preserve">O trabalho tem uma </w:t>
      </w:r>
      <w:r>
        <w:rPr>
          <w:b/>
          <w:bCs/>
        </w:rPr>
        <w:t xml:space="preserve">ideia central sólida e original</w:t>
      </w:r>
      <w:r>
        <w:t xml:space="preserve">: aplicar AOS via multi-armed bandit ao BODP dentro do framework MOEA/D, com warm-start GRASP orientado por pesos. O código está estruturado, o problema bem formulado, e há resultados preliminares encorajadores na família SOM-a.</w:t>
      </w:r>
    </w:p>
    <w:p>
      <w:pPr>
        <w:spacing w:after="160"/>
      </w:pPr>
      <w:r>
        <w:t xml:space="preserve">Para chegar ao EJOR, são necessários os seguintes passos não-negociáveis: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626"/>
        <w:gridCol w:w="30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Ação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Impacto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Corrigir HV normalizado (HVN) — bug crítico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Elimina todos os HV=0 e permite comparação válida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Expandir instâncias para GKD-b, GKD-c, MDG-b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Requisito mínimo para EJOR validar generalidade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Implementar MOEA/D-DYTS (Sun &amp; Li, 2020)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Baseline AOS mais forte — crítico para posicionamento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Adicionar operador BiObjBestSwap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Elimina viés mono-objetivo e enriquece análise AOS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Rodar 30 réplicas em todas as famílias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Poder estatístico adequado para Friedman+Wilcoxon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Análise do comportamento AOS por geração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Diferencial de interpretabilidade único do trabalho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CD-diagram e testes Friedman+Nemenyi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Requisito padrão EJOR para comparação de metaheurísticas</w:t>
            </w:r>
          </w:p>
        </w:tc>
      </w:tr>
    </w:tbl>
    <w:p>
      <w:pPr>
        <w:spacing w:after="300"/>
      </w:pPr>
    </w:p>
    <w:p>
      <w:pPr>
        <w:spacing w:after="160"/>
      </w:pPr>
      <w:r>
        <w:t xml:space="preserve">Com essas correções e melhorias, o trabalho tem potencial real para o EJOR — especialmente se a análise do comportamento AOS for profunda o suficiente para gerar insights sobre quais operadores são eficazes em diferentes fases da busca no BODP. Esse tipo de insight mecanístico é exatamente o que diferencia artigos metodológicos no EJOR de submissões puramente experimentais.</w:t>
      </w:r>
    </w:p>
    <w:p>
      <w:pPr>
        <w:pBdr>
          <w:top w:val="single" w:color="2E75B6" w:sz="4"/>
        </w:pBdr>
        <w:spacing w:after="120" w:before="4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Fontes de Literatura Chave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Colmenar et al. (2021). Multi-Objective GRASP for Maximizing Diversity. Electronics 10(11):1232.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Lozano-Osorio et al. (2023). A reactive path relinking for bi-objective problems. Soft Computing.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Martí et al. (2022). Discrete diversity and dispersion maximization. EJOR.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Sun &amp; Li (2020). Adaptive Operator Selection Based on Dynamic Thompson Sampling for MOEA/D. PPSN 2020.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Gonçalves et al. (2015). Upper Confidence Bound Algorithms for AOS in MOEA/D. PPSN 2015.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DaCosta et al. (2008). Adaptive operator selection with dynamic multi-armed bandits. GECCO 2008.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Zhang &amp; Li (2007). MOEA/D: A Multiobjective Evolutionary Algorithm Based on Decomposition. IEEE TEC.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Zitzler et al. (2003). Performance Assessment of Multiobjective Optimizers. IEEE TEC 7(2):117–132.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Deb et al. (2002). NSGA-II. IEEE TEC 6(2):182–197.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Martí et al. (2021). MDPLIB 2.0 Library of Benchmark Instances for Diversity Problems. GRAFO Research Group.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rFonts w:ascii="Arial" w:cs="Arial" w:eastAsia="Arial" w:hAnsi="Arial"/>
        <w:color w:val="888888"/>
        <w:sz w:val="18"/>
        <w:szCs w:val="18"/>
      </w:rPr>
      <w:t xml:space="preserve">Análise Preparada por Claude  —  Maio 2026  |  Pág.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rFonts w:ascii="Arial" w:cs="Arial" w:eastAsia="Arial" w:hAnsi="Arial"/>
        <w:color w:val="888888"/>
        <w:sz w:val="18"/>
        <w:szCs w:val="18"/>
      </w:rPr>
      <w:t xml:space="preserve">MOEA/D-AOS para MDP Bi-objetivo  |  Análise Técnica e Roadmap EJOR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2026-05-13T21:35:32.211Z</dcterms:created>
  <dcterms:modified xsi:type="dcterms:W3CDTF">2026-05-13T21:35:32.211Z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