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0"/>
          <w:szCs w:val="280"/>
        </w:rPr>
        <w:t xml:space="preserve">Adaptive Operator Selection via Multi-Armed Bandits in MOEA/D
for the Bi-Objective Maximum Diversity Problem</w:t>
      </w:r>
    </w:p>
    <w:p>
      <w:pPr>
        <w:spacing w:after="80" w:before="0"/>
        <w:jc w:val="center"/>
      </w:pPr>
      <w:r>
        <w:rPr>
          <w:rFonts w:ascii="Times New Roman" w:cs="Times New Roman" w:eastAsia="Times New Roman" w:hAnsi="Times New Roman"/>
          <w:i/>
          <w:iCs/>
          <w:sz w:val="220"/>
          <w:szCs w:val="220"/>
        </w:rPr>
        <w:t xml:space="preserve">Carlos Vinicius Dantas  ·  [Co-authors TBD]</w:t>
      </w:r>
    </w:p>
    <w:p>
      <w:pPr>
        <w:spacing w:after="240" w:before="0"/>
        <w:jc w:val="center"/>
      </w:pPr>
      <w:r>
        <w:rPr>
          <w:rFonts w:ascii="Times New Roman" w:cs="Times New Roman" w:eastAsia="Times New Roman" w:hAnsi="Times New Roman"/>
          <w:color w:val="555555"/>
          <w:sz w:val="200"/>
          <w:szCs w:val="200"/>
        </w:rPr>
        <w:t xml:space="preserve">Manuscript prepared for submission to the European Journal of Operational Research</w:t>
      </w:r>
    </w:p>
    <w:p>
      <w:pPr>
        <w:pStyle w:val="Heading1"/>
        <w:spacing w:after="120" w:before="320"/>
      </w:pPr>
      <w:r>
        <w:rPr>
          <w:rFonts w:ascii="Times New Roman" w:cs="Times New Roman" w:eastAsia="Times New Roman" w:hAnsi="Times New Roman"/>
          <w:b/>
          <w:bCs/>
          <w:sz w:val="240"/>
          <w:szCs w:val="240"/>
        </w:rPr>
        <w:t xml:space="preserve">Abstract</w:t>
      </w:r>
    </w:p>
    <w:p>
      <w:pPr>
        <w:spacing w:after="60" w:before="60" w:line="276"/>
        <w:ind/>
        <w:jc w:val="both"/>
      </w:pPr>
      <w:r>
        <w:rPr>
          <w:rFonts w:ascii="Times New Roman" w:cs="Times New Roman" w:eastAsia="Times New Roman" w:hAnsi="Times New Roman"/>
          <w:sz w:val="220"/>
          <w:szCs w:val="220"/>
        </w:rPr>
        <w:t xml:space="preserve">The Maximum Diversity Problem (MDP) seeks a subset of m elements from a set of n that maximises pairwise diversity. When two complementary diversity measures — MaxSum and MaxMin — are simultaneously optimised, the problem becomes bi-objective, generating a Pareto front of trade-off solutions. This paper proposes MOEA/D-AOS, a decomposition-based evolutionary algorithm that integrates Adaptive Operator Selection (AOS) for the bi-objective MDP. Two Multi-Armed Bandit (MAB) strategies are evaluated: UCB1 with a sliding-window reward (MOEA/D-AOS-HV) and Thompson Sampling (MOEA/D-Thompson-HV), both guided by hypervolume improvement as the reward signal. A pool of four complementary operators — RandomSwap1×1, BestSwap1×1, RandomSwap2×2, and GraspGreedy — is maintained, and the MAB dynamically allocates computational effort to the most effective operator at each generation. Experiments on 19 instances from two standard benchmark families (GKD-d and MDG-a, with n ∈ {25, 50, 100}) compare MOEA/D-AOS against NSGA-II, a multi-objective GRASP with path relinking, and three internal ablation baselines. Results show that MOEA/D-AOS-HV significantly outperforms the scalar-reward variant (Wilcoxon, p = 0.0016) and achieves the best additive epsilon indicator (5.80) among all methods. GRASP with path relinking yields higher hypervolume (p = 0.0086), but MOEA/D-AOS produces better-spread Pareto fronts as measured by the epsilon indicator. Thompson Sampling matches UCB1 performance without requiring the exploration parameter c. Analysis of operator Q-values reveals that the algorithm learns to favour local-search-based moves under the hypervolume reward, providing mechanistic insight into the AOS dynamics.</w:t>
      </w:r>
    </w:p>
    <w:p>
      <w:pPr>
        <w:spacing w:after="120" w:before="120" w:line="276"/>
        <w:ind/>
        <w:jc w:val="both"/>
      </w:pPr>
      <w:r>
        <w:rPr>
          <w:rFonts w:ascii="Times New Roman" w:cs="Times New Roman" w:eastAsia="Times New Roman" w:hAnsi="Times New Roman"/>
          <w:b/>
          <w:bCs/>
          <w:sz w:val="220"/>
          <w:szCs w:val="220"/>
        </w:rPr>
        <w:t xml:space="preserve">Keywords: </w:t>
      </w:r>
      <w:r>
        <w:rPr>
          <w:rFonts w:ascii="Times New Roman" w:cs="Times New Roman" w:eastAsia="Times New Roman" w:hAnsi="Times New Roman"/>
          <w:sz w:val="220"/>
          <w:szCs w:val="220"/>
        </w:rPr>
        <w:t xml:space="preserve">Maximum Diversity Problem; Multi-Objective Optimisation; MOEA/D; Adaptive Operator Selection; Multi-Armed Bandits; UCB1; Thompson Sampling; Hypervolume</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1. Introduction</w:t>
      </w:r>
    </w:p>
    <w:p>
      <w:pPr>
        <w:spacing w:after="60" w:before="60" w:line="276"/>
        <w:ind/>
        <w:jc w:val="both"/>
      </w:pPr>
      <w:r>
        <w:rPr>
          <w:rFonts w:ascii="Times New Roman" w:cs="Times New Roman" w:eastAsia="Times New Roman" w:hAnsi="Times New Roman"/>
          <w:sz w:val="220"/>
          <w:szCs w:val="220"/>
        </w:rPr>
        <w:t xml:space="preserve">The Maximum Diversity Problem (MDP) is a combinatorial optimisation problem with applications in facility location, product portfolio selection, document summarisation, and biological sequence analysis (Ghosh, 1996; Kuo et al., 1993; Martí et al., 2010). In its classical mono-objective formulation, an optimal subset S of cardinality m is sought by maximising the sum of pairwise distances (MaxSum). An alternative criterion, MaxMin, maximises the minimum pairwise distance, promoting robustness to outliers. These two objectives are in direct tension: solutions that spread elements uniformly across the distance space (MaxSum-optimal) may include pairs that are closer than the globally minimum distance achievable under constraint m (MaxMin-optimal). Addressing both criteria simultaneously requires multi-objective treatment.</w:t>
      </w:r>
    </w:p>
    <w:p>
      <w:pPr>
        <w:spacing w:after="60" w:before="60" w:line="276"/>
        <w:ind/>
        <w:jc w:val="both"/>
      </w:pPr>
      <w:r>
        <w:rPr>
          <w:rFonts w:ascii="Times New Roman" w:cs="Times New Roman" w:eastAsia="Times New Roman" w:hAnsi="Times New Roman"/>
          <w:sz w:val="220"/>
          <w:szCs w:val="220"/>
        </w:rPr>
        <w:t xml:space="preserve">Multi-objective evolutionary algorithms (MOEAs) are well-suited for such problems, since they produce a set of Pareto-optimal trade-off solutions in a single run. Among MOEAs, MOEA/D (Zhang and Li, 2007) decomposes the multi-objective problem into a set of scalar sub-problems solved cooperatively, combining the efficiency of single-objective search with the diversity preservation of Pareto-based approaches. A recurring challenge in MOEA/D is the choice of variation operators: different operators may be advantageous at different stages of the search, and fixing the operator pool allocation a priori may be suboptimal.</w:t>
      </w:r>
    </w:p>
    <w:p>
      <w:pPr>
        <w:spacing w:after="60" w:before="60" w:line="276"/>
        <w:ind/>
        <w:jc w:val="both"/>
      </w:pPr>
      <w:r>
        <w:rPr>
          <w:rFonts w:ascii="Times New Roman" w:cs="Times New Roman" w:eastAsia="Times New Roman" w:hAnsi="Times New Roman"/>
          <w:sz w:val="220"/>
          <w:szCs w:val="220"/>
        </w:rPr>
        <w:t xml:space="preserve">Adaptive Operator Selection (AOS) addresses this limitation by dynamically adjusting the operator probability distribution during the run (Fialho et al., 2010; DaCosta et al., 2008). The Multi-Armed Bandit (MAB) framework offers a principled mechanism for AOS: each operator is treated as an arm, and a bandit algorithm balances exploration of less-used operators against exploitation of historically effective ones. UCB1 (Auer et al., 2002) is the most widely studied bandit policy for AOS, while Thompson Sampling (Thompson, 1933; Chapelle and Li, 2011) offers a Bayesian alternative with competitive empirical performance and no free exploration parameter.</w:t>
      </w:r>
    </w:p>
    <w:p>
      <w:pPr>
        <w:spacing w:after="60" w:before="60" w:line="276"/>
        <w:ind w:firstLine="720"/>
        <w:jc w:val="both"/>
      </w:pPr>
      <w:r>
        <w:rPr>
          <w:rFonts w:ascii="Times New Roman" w:cs="Times New Roman" w:eastAsia="Times New Roman" w:hAnsi="Times New Roman"/>
          <w:sz w:val="220"/>
          <w:szCs w:val="220"/>
        </w:rPr>
        <w:t xml:space="preserve">This paper makes three principal contributions:</w:t>
      </w:r>
    </w:p>
    <w:p>
      <w:pPr>
        <w:spacing w:after="60" w:before="60" w:line="276"/>
        <w:ind w:firstLine="720"/>
        <w:jc w:val="both"/>
      </w:pPr>
      <w:r>
        <w:rPr>
          <w:rFonts w:ascii="Times New Roman" w:cs="Times New Roman" w:eastAsia="Times New Roman" w:hAnsi="Times New Roman"/>
          <w:sz w:val="220"/>
          <w:szCs w:val="220"/>
        </w:rPr>
        <w:t xml:space="preserve">(i) a formulation of the bi-objective MDP combining MaxSum and MaxMin objectives within the MOEA/D-Tchebycheff decomposition framework; (ii) a MOEA/D-AOS algorithm integrating both UCB1 and Thompson Sampling with hypervolume-based reward signals and a sliding-window memory; and (iii) a comprehensive empirical study on 19 benchmark instances comparing MOEA/D-AOS against NSGA-II and multi-objective GRASP with path relinking, supported by Wilcoxon signed-rank tests and analysis of learned operator Q-values.</w:t>
      </w:r>
    </w:p>
    <w:p>
      <w:pPr>
        <w:spacing w:after="60" w:before="60" w:line="276"/>
        <w:ind w:firstLine="720"/>
        <w:jc w:val="both"/>
      </w:pPr>
      <w:r>
        <w:rPr>
          <w:rFonts w:ascii="Times New Roman" w:cs="Times New Roman" w:eastAsia="Times New Roman" w:hAnsi="Times New Roman"/>
          <w:sz w:val="220"/>
          <w:szCs w:val="220"/>
        </w:rPr>
        <w:t xml:space="preserve">The remainder of this paper is organised as follows. Section 2 defines the bi-objective MDP. Section 3 surveys related work. Section 4 describes the proposed MOEA/D-AOS framework. Section 5 presents the experimental study. Section 6 concludes with directions for future research.</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2. Problem Statement</w:t>
      </w:r>
    </w:p>
    <w:p>
      <w:pPr>
        <w:spacing w:after="60" w:before="60" w:line="276"/>
        <w:ind/>
        <w:jc w:val="both"/>
      </w:pPr>
      <w:r>
        <w:rPr>
          <w:rFonts w:ascii="Times New Roman" w:cs="Times New Roman" w:eastAsia="Times New Roman" w:hAnsi="Times New Roman"/>
          <w:sz w:val="220"/>
          <w:szCs w:val="220"/>
        </w:rPr>
        <w:t xml:space="preserve">Let E = {1, …, n} be a set of n elements with a symmetric distance (or dissimilarity) matrix D ∈ ℝ^{n×n}, D[i,j] ≥ 0, D[i,i] = 0. The MDP seeks a subset S ⊆ E, |S| = m, that maximises diversity. Two objectives are considered simultaneously:</w:t>
      </w:r>
    </w:p>
    <w:p>
      <w:pPr>
        <w:spacing w:after="80" w:before="80"/>
        <w:jc w:val="center"/>
      </w:pPr>
      <w:r>
        <w:rPr>
          <w:rFonts w:ascii="Courier New" w:cs="Courier New" w:eastAsia="Courier New" w:hAnsi="Courier New"/>
          <w:i/>
          <w:iCs/>
          <w:sz w:val="210"/>
          <w:szCs w:val="210"/>
        </w:rPr>
        <w:t xml:space="preserve">f₁(S) = MaxSum(S) = Σ_{i,j ∈ S, i&lt;j} D[i,j]</w:t>
      </w:r>
    </w:p>
    <w:p>
      <w:pPr>
        <w:spacing w:after="80" w:before="80"/>
        <w:jc w:val="center"/>
      </w:pPr>
      <w:r>
        <w:rPr>
          <w:rFonts w:ascii="Courier New" w:cs="Courier New" w:eastAsia="Courier New" w:hAnsi="Courier New"/>
          <w:i/>
          <w:iCs/>
          <w:sz w:val="210"/>
          <w:szCs w:val="210"/>
        </w:rPr>
        <w:t xml:space="preserve">f₂(S) = MaxMin(S) = min_{i,j ∈ S, i≠j} D[i,j]</w:t>
      </w:r>
    </w:p>
    <w:p>
      <w:pPr>
        <w:spacing w:after="60" w:before="60" w:line="276"/>
        <w:ind w:firstLine="720"/>
        <w:jc w:val="both"/>
      </w:pPr>
      <w:r>
        <w:rPr>
          <w:rFonts w:ascii="Times New Roman" w:cs="Times New Roman" w:eastAsia="Times New Roman" w:hAnsi="Times New Roman"/>
          <w:sz w:val="220"/>
          <w:szCs w:val="220"/>
        </w:rPr>
        <w:t xml:space="preserve">Both objectives are to be maximised. The bi-objective MDP is then:</w:t>
      </w:r>
    </w:p>
    <w:p>
      <w:pPr>
        <w:spacing w:after="80" w:before="80"/>
        <w:jc w:val="center"/>
      </w:pPr>
      <w:r>
        <w:rPr>
          <w:rFonts w:ascii="Courier New" w:cs="Courier New" w:eastAsia="Courier New" w:hAnsi="Courier New"/>
          <w:i/>
          <w:iCs/>
          <w:sz w:val="210"/>
          <w:szCs w:val="210"/>
        </w:rPr>
        <w:t xml:space="preserve">max  (f₁(S), f₂(S))   s.t.  S ⊆ E,  |S| = m.</w:t>
      </w:r>
    </w:p>
    <w:p>
      <w:pPr>
        <w:spacing w:after="60" w:before="60" w:line="276"/>
        <w:ind w:firstLine="720"/>
        <w:jc w:val="both"/>
      </w:pPr>
      <w:r>
        <w:rPr>
          <w:rFonts w:ascii="Times New Roman" w:cs="Times New Roman" w:eastAsia="Times New Roman" w:hAnsi="Times New Roman"/>
          <w:sz w:val="220"/>
          <w:szCs w:val="220"/>
        </w:rPr>
        <w:t xml:space="preserve">A solution S* dominates S if f₁(S*) ≥ f₁(S) and f₂(S*) ≥ f₂(S) with at least one strict inequality. The Pareto front PF* is the set of all non-dominated objective vectors, and any algorithm produces an approximation set PF that is evaluated against quality indicators.</w:t>
      </w:r>
    </w:p>
    <w:p>
      <w:pPr>
        <w:spacing w:after="60" w:before="60" w:line="276"/>
        <w:ind w:firstLine="720"/>
        <w:jc w:val="both"/>
      </w:pPr>
      <w:r>
        <w:rPr>
          <w:rFonts w:ascii="Times New Roman" w:cs="Times New Roman" w:eastAsia="Times New Roman" w:hAnsi="Times New Roman"/>
          <w:sz w:val="220"/>
          <w:szCs w:val="220"/>
        </w:rPr>
        <w:t xml:space="preserve">MaxSum rewards the global spread of selected elements, whereas MaxMin rewards the local separation between the nearest pair. These objectives conflict because adding an element that greatly increases the sum may introduce a pair whose distance is the new minimum. The problem is NP-hard in both single-objective formulations (Kuo et al., 1993), and no polynomial-time algorithm is known for the bi-objective variant.</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3. Related Work</w:t>
      </w:r>
    </w:p>
    <w:p>
      <w:pPr>
        <w:spacing w:after="60" w:before="60" w:line="276"/>
        <w:ind w:firstLine="720"/>
        <w:jc w:val="both"/>
      </w:pPr>
      <w:r>
        <w:rPr>
          <w:rFonts w:ascii="Times New Roman" w:cs="Times New Roman" w:eastAsia="Times New Roman" w:hAnsi="Times New Roman"/>
          <w:sz w:val="220"/>
          <w:szCs w:val="220"/>
        </w:rPr>
        <w:t xml:space="preserve">The MDP has been studied extensively in the mono-objective setting. Greedy constructive heuristics (Ghosh, 1996), tabu search (Martí et al., 2010), GRASP (Duarte and Martí, 2007), variable neighbourhood search (Aringhieri et al., 2008), and memetic algorithms (Gallego et al., 2013) have all been proposed. Benchmark families GKD (Glover et al.) and MDG (Aringhieri et al.) are standard references. Despite this activity, bi-objective formulations of the MDP remain underexplored in the literature.</w:t>
      </w:r>
    </w:p>
    <w:p>
      <w:pPr>
        <w:spacing w:after="60" w:before="60" w:line="276"/>
        <w:ind w:firstLine="720"/>
        <w:jc w:val="both"/>
      </w:pPr>
      <w:r>
        <w:rPr>
          <w:rFonts w:ascii="Times New Roman" w:cs="Times New Roman" w:eastAsia="Times New Roman" w:hAnsi="Times New Roman"/>
          <w:sz w:val="220"/>
          <w:szCs w:val="220"/>
        </w:rPr>
        <w:t xml:space="preserve">Colmenar et al. (2018) is the closest prior work to the present study. They proposed a multi-start GRASP with a Pareto archive for the bi-objective MDP, using random scalarisation to guide construction and path relinking to intensify search between archive solutions. Our GRASP-PR implementation follows their design. To the best of the authors' knowledge, no prior work has applied MOEA/D or bandit-based AOS to the bi-objective MDP.</w:t>
      </w:r>
    </w:p>
    <w:p>
      <w:pPr>
        <w:spacing w:after="60" w:before="60" w:line="276"/>
        <w:ind w:firstLine="720"/>
        <w:jc w:val="both"/>
      </w:pPr>
      <w:r>
        <w:rPr>
          <w:rFonts w:ascii="Times New Roman" w:cs="Times New Roman" w:eastAsia="Times New Roman" w:hAnsi="Times New Roman"/>
          <w:sz w:val="220"/>
          <w:szCs w:val="220"/>
        </w:rPr>
        <w:t xml:space="preserve">MOEA/D (Zhang and Li, 2007) decomposes a multi-objective problem into T scalar sub-problems via weight vectors λ⁽¹⁾, …, λ⁽ᵀ⁾ and solves them cooperatively using neighbourhood information. The Tchebycheff aggregation function g_tch(x|λ,z*) = max_i λ_i|f_i(x) − z*_i| is employed here. MOEA/D has been successfully applied to binary and permutation combinatorial problems (Li and Zhang, 2009) and is competitive with NSGA-II on many benchmark suites.</w:t>
      </w:r>
    </w:p>
    <w:p>
      <w:pPr>
        <w:spacing w:after="60" w:before="60" w:line="276"/>
        <w:ind w:firstLine="720"/>
        <w:jc w:val="both"/>
      </w:pPr>
      <w:r>
        <w:rPr>
          <w:rFonts w:ascii="Times New Roman" w:cs="Times New Roman" w:eastAsia="Times New Roman" w:hAnsi="Times New Roman"/>
          <w:sz w:val="220"/>
          <w:szCs w:val="220"/>
        </w:rPr>
        <w:t xml:space="preserve">AOS via MAB was formalised by DaCosta et al. (2008), who introduced the sliding-window UCB mechanism later refined in this work. Fialho et al. (2010) provided a comprehensive survey of credit assignment and operator selection strategies. Maturana et al. (2010) applied AOS within MOEA/D for continuous problems. Thompson Sampling was revisited for MAB by Chapelle and Li (2011), who demonstrated its empirical competitiveness with UCB1. To the authors' knowledge, this is the first application of Thompson Sampling-based AOS within MOEA/D for combinatorial optimisation.</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4. The MOEA/D-AOS Framework</w:t>
      </w:r>
    </w:p>
    <w:p>
      <w:pPr>
        <w:pStyle w:val="Heading2"/>
        <w:spacing w:after="80" w:before="240"/>
      </w:pPr>
      <w:r>
        <w:rPr>
          <w:rFonts w:ascii="Times New Roman" w:cs="Times New Roman" w:eastAsia="Times New Roman" w:hAnsi="Times New Roman"/>
          <w:b/>
          <w:bCs/>
          <w:i/>
          <w:iCs/>
          <w:sz w:val="220"/>
          <w:szCs w:val="220"/>
        </w:rPr>
        <w:t xml:space="preserve">4.1. Overview</w:t>
      </w:r>
    </w:p>
    <w:p>
      <w:pPr>
        <w:spacing w:after="60" w:before="60" w:line="276"/>
        <w:ind w:firstLine="720"/>
        <w:jc w:val="both"/>
      </w:pPr>
      <w:r>
        <w:rPr>
          <w:rFonts w:ascii="Times New Roman" w:cs="Times New Roman" w:eastAsia="Times New Roman" w:hAnsi="Times New Roman"/>
          <w:sz w:val="220"/>
          <w:szCs w:val="220"/>
        </w:rPr>
        <w:t xml:space="preserve">The proposed framework, MOEA/D-AOS, combines the MOEA/D decomposition scheme with a bandit-based AOS mechanism. The main components are: (i) a weight-vector decomposition with Tchebycheff scalarisation; (ii) a pool of four variation operators; (iii) a MAB selector (UCB1 or Thompson Sampling) with sliding-window reward; and (iv) a hypervolume-based reward signal. Algorithm 1 (see Supplementary Material) provides the pseudocode.</w:t>
      </w:r>
    </w:p>
    <w:p>
      <w:pPr>
        <w:pStyle w:val="Heading2"/>
        <w:spacing w:after="80" w:before="240"/>
      </w:pPr>
      <w:r>
        <w:rPr>
          <w:rFonts w:ascii="Times New Roman" w:cs="Times New Roman" w:eastAsia="Times New Roman" w:hAnsi="Times New Roman"/>
          <w:b/>
          <w:bCs/>
          <w:i/>
          <w:iCs/>
          <w:sz w:val="220"/>
          <w:szCs w:val="220"/>
        </w:rPr>
        <w:t xml:space="preserve">4.2. Decomposition and Scalarisation</w:t>
      </w:r>
    </w:p>
    <w:p>
      <w:pPr>
        <w:spacing w:after="60" w:before="60" w:line="276"/>
        <w:ind w:firstLine="720"/>
        <w:jc w:val="both"/>
      </w:pPr>
      <w:r>
        <w:rPr>
          <w:rFonts w:ascii="Times New Roman" w:cs="Times New Roman" w:eastAsia="Times New Roman" w:hAnsi="Times New Roman"/>
          <w:sz w:val="220"/>
          <w:szCs w:val="220"/>
        </w:rPr>
        <w:t xml:space="preserve">T uniformly spaced weight vectors λ⁽¹⁾, …, λ⁽ᵀ⁾ ∈ [0,1]² with λ₁ + λ₂ = 1 are generated. Each sub-problem i maintains a current solution x⁽ⁱ⁾ and a neighbourhood B(i) of size |B| = 5 sub-problems with the closest weight vectors. At each generation, the ideal point z* = (z*₁, z*₂) is updated with the best f₁ and f₂ values found so far. The scalarisation is:</w:t>
      </w:r>
    </w:p>
    <w:p>
      <w:pPr>
        <w:spacing w:after="80" w:before="80" w:line="260"/>
        <w:ind w:firstLine="720"/>
        <w:jc w:val="both"/>
      </w:pPr>
      <w:r>
        <w:rPr>
          <w:rFonts w:ascii="Times New Roman" w:cs="Times New Roman" w:eastAsia="Times New Roman" w:hAnsi="Times New Roman"/>
          <w:i/>
          <w:iCs/>
          <w:sz w:val="220"/>
          <w:szCs w:val="220"/>
        </w:rPr>
        <w:t xml:space="preserve">g_tch(x | λ, z*) = max{λ₁(z*₁ − f₁(x)), λ₂(z*₂ − f₂(x))}.</w:t>
      </w:r>
    </w:p>
    <w:p>
      <w:pPr>
        <w:spacing w:after="80" w:before="80" w:line="260"/>
        <w:ind w:firstLine="720"/>
        <w:jc w:val="both"/>
      </w:pPr>
      <w:r>
        <w:rPr>
          <w:rFonts w:ascii="Times New Roman" w:cs="Times New Roman" w:eastAsia="Times New Roman" w:hAnsi="Times New Roman"/>
          <w:i/>
          <w:iCs/>
          <w:sz w:val="220"/>
          <w:szCs w:val="220"/>
        </w:rPr>
        <w:t xml:space="preserve">Sub-problem i is improved when the operator produces a solution x' with g_tch(x') &lt; g_tch(x⁽ⁱ⁾).</w:t>
      </w:r>
    </w:p>
    <w:p>
      <w:pPr>
        <w:pStyle w:val="Heading2"/>
        <w:spacing w:after="80" w:before="240"/>
      </w:pPr>
      <w:r>
        <w:rPr>
          <w:rFonts w:ascii="Times New Roman" w:cs="Times New Roman" w:eastAsia="Times New Roman" w:hAnsi="Times New Roman"/>
          <w:b/>
          <w:bCs/>
          <w:i/>
          <w:iCs/>
          <w:sz w:val="220"/>
          <w:szCs w:val="220"/>
        </w:rPr>
        <w:t xml:space="preserve">4.3. Operator Pool</w:t>
      </w:r>
    </w:p>
    <w:p>
      <w:pPr>
        <w:spacing w:after="40" w:before="60" w:line="276"/>
        <w:ind w:firstLine="720"/>
        <w:jc w:val="both"/>
      </w:pPr>
      <w:r>
        <w:rPr>
          <w:rFonts w:ascii="Times New Roman" w:cs="Times New Roman" w:eastAsia="Times New Roman" w:hAnsi="Times New Roman"/>
          <w:sz w:val="220"/>
          <w:szCs w:val="220"/>
        </w:rPr>
        <w:t xml:space="preserve">Four operators are maintained in the pool, ordered by search granularity:</w:t>
      </w:r>
    </w:p>
    <w:p>
      <w:pPr>
        <w:spacing w:after="40" w:before="40" w:line="260"/>
        <w:ind w:left="720" w:hanging="360"/>
        <w:jc w:val="both"/>
      </w:pPr>
      <w:r>
        <w:rPr>
          <w:rFonts w:ascii="Times New Roman" w:cs="Times New Roman" w:eastAsia="Times New Roman" w:hAnsi="Times New Roman"/>
          <w:sz w:val="220"/>
          <w:szCs w:val="220"/>
        </w:rPr>
        <w:t xml:space="preserve">• RandomSwap1×1: removes one element from S uniformly at random and inserts one element from E\S uniformly at random. Cost: O(m) to update f₁, O(n) for f₂.</w:t>
      </w:r>
    </w:p>
    <w:p>
      <w:pPr>
        <w:spacing w:after="40" w:before="40" w:line="260"/>
        <w:ind w:left="720" w:hanging="360"/>
        <w:jc w:val="both"/>
      </w:pPr>
      <w:r>
        <w:rPr>
          <w:rFonts w:ascii="Times New Roman" w:cs="Times New Roman" w:eastAsia="Times New Roman" w:hAnsi="Times New Roman"/>
          <w:sz w:val="220"/>
          <w:szCs w:val="220"/>
        </w:rPr>
        <w:t xml:space="preserve">• BestSwap1×1: removes one element from S and inserts the element from E\S that maximises improvement in the sub-problem scalarisation. Cost: O((n − m)·m).</w:t>
      </w:r>
    </w:p>
    <w:p>
      <w:pPr>
        <w:spacing w:after="40" w:before="40" w:line="260"/>
        <w:ind w:left="720" w:hanging="360"/>
        <w:jc w:val="both"/>
      </w:pPr>
      <w:r>
        <w:rPr>
          <w:rFonts w:ascii="Times New Roman" w:cs="Times New Roman" w:eastAsia="Times New Roman" w:hAnsi="Times New Roman"/>
          <w:sz w:val="220"/>
          <w:szCs w:val="220"/>
        </w:rPr>
        <w:t xml:space="preserve">• RandomSwap2×2: exchanges two elements of S with two elements of E\S selected uniformly. Provides larger neighbourhood perturbation.</w:t>
      </w:r>
    </w:p>
    <w:p>
      <w:pPr>
        <w:spacing w:after="40" w:before="40" w:line="260"/>
        <w:ind w:left="720" w:hanging="360"/>
        <w:jc w:val="both"/>
      </w:pPr>
      <w:r>
        <w:rPr>
          <w:rFonts w:ascii="Times New Roman" w:cs="Times New Roman" w:eastAsia="Times New Roman" w:hAnsi="Times New Roman"/>
          <w:sz w:val="220"/>
          <w:szCs w:val="220"/>
        </w:rPr>
        <w:t xml:space="preserve">• GraspGreedy: discards the entire S and rebuilds it from scratch via a greedy GRASP construction guided by the current sub-problem weight vector λ⁽ⁱ⁾. Allows the search to escape deep local optima.</w:t>
      </w:r>
    </w:p>
    <w:p>
      <w:pPr>
        <w:pStyle w:val="Heading2"/>
        <w:spacing w:after="80" w:before="240"/>
      </w:pPr>
      <w:r>
        <w:rPr>
          <w:rFonts w:ascii="Times New Roman" w:cs="Times New Roman" w:eastAsia="Times New Roman" w:hAnsi="Times New Roman"/>
          <w:b/>
          <w:bCs/>
          <w:i/>
          <w:iCs/>
          <w:sz w:val="220"/>
          <w:szCs w:val="220"/>
        </w:rPr>
        <w:t xml:space="preserve">4.4. Multi-Armed Bandit Selector</w:t>
      </w:r>
    </w:p>
    <w:p>
      <w:pPr>
        <w:spacing w:after="60" w:before="60" w:line="276"/>
        <w:ind w:firstLine="720"/>
        <w:jc w:val="both"/>
      </w:pPr>
      <w:r>
        <w:rPr>
          <w:rFonts w:ascii="Times New Roman" w:cs="Times New Roman" w:eastAsia="Times New Roman" w:hAnsi="Times New Roman"/>
          <w:sz w:val="220"/>
          <w:szCs w:val="220"/>
        </w:rPr>
        <w:t xml:space="preserve">At generation t, the MAB selector chooses operator k ∈ {1, 2, 3, 4} to apply to each active sub-problem. A warm-up phase ensures each operator is selected at least once before the bandit regime begins. After warm-up, two strategies are evaluated:</w:t>
      </w:r>
    </w:p>
    <w:p>
      <w:pPr>
        <w:spacing w:after="60" w:before="60" w:line="276"/>
        <w:ind w:firstLine="720"/>
        <w:jc w:val="both"/>
      </w:pPr>
      <w:r>
        <w:rPr>
          <w:rFonts w:ascii="Times New Roman" w:cs="Times New Roman" w:eastAsia="Times New Roman" w:hAnsi="Times New Roman"/>
          <w:sz w:val="220"/>
          <w:szCs w:val="220"/>
        </w:rPr>
        <w:t xml:space="preserve">UCB1 with sliding window (MOEA/D-AOS-HV): the UCB score is UCB(k, t) = Q(k) + c · √(log(ΣN(k)) / N(k)), where Q(k) is the mean reward in a window of W = 50 recent uses, N(k) is the count within the window, c = 0.5 is the exploration coefficient, and ΣN(k) = Σ_j N(j) is the total window size. Ties are broken by uniform random selection among maximisers.</w:t>
      </w:r>
    </w:p>
    <w:p>
      <w:pPr>
        <w:spacing w:after="60" w:before="60" w:line="276"/>
        <w:ind w:firstLine="720"/>
        <w:jc w:val="both"/>
      </w:pPr>
      <w:r>
        <w:rPr>
          <w:rFonts w:ascii="Times New Roman" w:cs="Times New Roman" w:eastAsia="Times New Roman" w:hAnsi="Times New Roman"/>
          <w:sz w:val="220"/>
          <w:szCs w:val="220"/>
        </w:rPr>
        <w:t xml:space="preserve">Thompson Sampling (MOEA/D-Thompson-HV): each operator k is modelled by a Beta(α_k, β_k) posterior, where α_k counts positive rewards and β_k counts zero rewards within the sliding window. At each selection step, a sample θ_k ~ Beta(α_k + 1, β_k + 1) is drawn for each operator and the operator with the highest sample is chosen. No exploration coefficient is required.</w:t>
      </w:r>
    </w:p>
    <w:p>
      <w:pPr>
        <w:spacing w:after="60" w:before="60" w:line="276"/>
        <w:ind w:firstLine="720"/>
        <w:jc w:val="both"/>
      </w:pPr>
      <w:r>
        <w:rPr>
          <w:rFonts w:ascii="Times New Roman" w:cs="Times New Roman" w:eastAsia="Times New Roman" w:hAnsi="Times New Roman"/>
          <w:sz w:val="220"/>
          <w:szCs w:val="220"/>
        </w:rPr>
        <w:t xml:space="preserve">The reward signal for both strategies is the hypervolume improvement: r = max(0, HV(PF ∪ {f(x')}) − HV(PF)), where PF is the current external Pareto archive and f(x') = (f₁(x'), f₂(x')). The reward is clipped to [0, ∞); no penalty is assigned for non-improving moves. The reference point for hypervolume computation is set dynamically to 0.9 × (min f₁, min f₂) observed across all solutions.</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5. Computational Experiments</w:t>
      </w:r>
    </w:p>
    <w:p>
      <w:pPr>
        <w:pStyle w:val="Heading2"/>
        <w:spacing w:after="80" w:before="240"/>
      </w:pPr>
      <w:r>
        <w:rPr>
          <w:rFonts w:ascii="Times New Roman" w:cs="Times New Roman" w:eastAsia="Times New Roman" w:hAnsi="Times New Roman"/>
          <w:b/>
          <w:bCs/>
          <w:i/>
          <w:iCs/>
          <w:sz w:val="220"/>
          <w:szCs w:val="220"/>
        </w:rPr>
        <w:t xml:space="preserve">5.1. Experimental Setup</w:t>
      </w:r>
    </w:p>
    <w:p>
      <w:pPr>
        <w:spacing w:after="60" w:before="60" w:line="276"/>
        <w:ind/>
        <w:jc w:val="both"/>
      </w:pPr>
      <w:r>
        <w:rPr>
          <w:rFonts w:ascii="Times New Roman" w:cs="Times New Roman" w:eastAsia="Times New Roman" w:hAnsi="Times New Roman"/>
          <w:sz w:val="220"/>
          <w:szCs w:val="220"/>
        </w:rPr>
        <w:t xml:space="preserve">Experiments are conducted on 19 instances from two benchmark families: twelve instances from GKD-d (n ∈ {25, 50, 100}, m ∈ {3, 5, 6, 10, 20}) and seven from MDG-a (n = 100, m = 10). GKD-d instances feature dense Euclidean distance matrices generated by the Glover–Kuo–Dhir model; MDG-a instances use sparser random matrices from Aringhieri et al. (2008). All instances were generated according to the literature's parameters, with random seed controlled for reproducibility.</w:t>
      </w:r>
    </w:p>
    <w:p>
      <w:pPr>
        <w:spacing w:after="60" w:before="60" w:line="276"/>
        <w:ind w:firstLine="720"/>
        <w:jc w:val="both"/>
      </w:pPr>
      <w:r>
        <w:rPr>
          <w:rFonts w:ascii="Times New Roman" w:cs="Times New Roman" w:eastAsia="Times New Roman" w:hAnsi="Times New Roman"/>
          <w:sz w:val="220"/>
          <w:szCs w:val="220"/>
        </w:rPr>
        <w:t xml:space="preserve">Eight methods are compared:</w:t>
      </w:r>
    </w:p>
    <w:p>
      <w:pPr>
        <w:spacing w:after="40" w:before="40" w:line="260"/>
        <w:ind w:left="720" w:hanging="360"/>
        <w:jc w:val="both"/>
      </w:pPr>
      <w:r>
        <w:rPr>
          <w:rFonts w:ascii="Times New Roman" w:cs="Times New Roman" w:eastAsia="Times New Roman" w:hAnsi="Times New Roman"/>
          <w:sz w:val="220"/>
          <w:szCs w:val="220"/>
        </w:rPr>
        <w:t xml:space="preserve">(1) MOEA/D-AOS-HV — proposed, UCB1, hypervolume reward;</w:t>
      </w:r>
    </w:p>
    <w:p>
      <w:pPr>
        <w:spacing w:after="40" w:before="40" w:line="260"/>
        <w:ind w:left="720" w:hanging="360"/>
        <w:jc w:val="both"/>
      </w:pPr>
      <w:r>
        <w:rPr>
          <w:rFonts w:ascii="Times New Roman" w:cs="Times New Roman" w:eastAsia="Times New Roman" w:hAnsi="Times New Roman"/>
          <w:sz w:val="220"/>
          <w:szCs w:val="220"/>
        </w:rPr>
        <w:t xml:space="preserve">(2) MOEA/D-Thompson-HV — proposed, Thompson Sampling, hypervolume reward;</w:t>
      </w:r>
    </w:p>
    <w:p>
      <w:pPr>
        <w:spacing w:after="40" w:before="40" w:line="260"/>
        <w:ind w:left="720" w:hanging="360"/>
        <w:jc w:val="both"/>
      </w:pPr>
      <w:r>
        <w:rPr>
          <w:rFonts w:ascii="Times New Roman" w:cs="Times New Roman" w:eastAsia="Times New Roman" w:hAnsi="Times New Roman"/>
          <w:sz w:val="220"/>
          <w:szCs w:val="220"/>
        </w:rPr>
        <w:t xml:space="preserve">(3) MOEA/D-AOS-scalar — ablation, UCB1, Tchebycheff scalar reward;</w:t>
      </w:r>
    </w:p>
    <w:p>
      <w:pPr>
        <w:spacing w:after="40" w:before="40" w:line="260"/>
        <w:ind w:left="720" w:hanging="360"/>
        <w:jc w:val="both"/>
      </w:pPr>
      <w:r>
        <w:rPr>
          <w:rFonts w:ascii="Times New Roman" w:cs="Times New Roman" w:eastAsia="Times New Roman" w:hAnsi="Times New Roman"/>
          <w:sz w:val="220"/>
          <w:szCs w:val="220"/>
        </w:rPr>
        <w:t xml:space="preserve">(4) MOEA/D-Thompson-scalar — ablation, Thompson Sampling, scalar reward;</w:t>
      </w:r>
    </w:p>
    <w:p>
      <w:pPr>
        <w:spacing w:after="40" w:before="40" w:line="260"/>
        <w:ind w:left="720" w:hanging="360"/>
        <w:jc w:val="both"/>
      </w:pPr>
      <w:r>
        <w:rPr>
          <w:rFonts w:ascii="Times New Roman" w:cs="Times New Roman" w:eastAsia="Times New Roman" w:hAnsi="Times New Roman"/>
          <w:sz w:val="220"/>
          <w:szCs w:val="220"/>
        </w:rPr>
        <w:t xml:space="preserve">(5) MOEA/D-random — ablation, uniform random operator selection;</w:t>
      </w:r>
    </w:p>
    <w:p>
      <w:pPr>
        <w:spacing w:after="40" w:before="40" w:line="260"/>
        <w:ind w:left="720" w:hanging="360"/>
        <w:jc w:val="both"/>
      </w:pPr>
      <w:r>
        <w:rPr>
          <w:rFonts w:ascii="Times New Roman" w:cs="Times New Roman" w:eastAsia="Times New Roman" w:hAnsi="Times New Roman"/>
          <w:sz w:val="220"/>
          <w:szCs w:val="220"/>
        </w:rPr>
        <w:t xml:space="preserve">(6) NSGA-II — baseline (Deb et al., 2002);</w:t>
      </w:r>
    </w:p>
    <w:p>
      <w:pPr>
        <w:spacing w:after="40" w:before="40" w:line="260"/>
        <w:ind w:left="720" w:hanging="360"/>
        <w:jc w:val="both"/>
      </w:pPr>
      <w:r>
        <w:rPr>
          <w:rFonts w:ascii="Times New Roman" w:cs="Times New Roman" w:eastAsia="Times New Roman" w:hAnsi="Times New Roman"/>
          <w:sz w:val="220"/>
          <w:szCs w:val="220"/>
        </w:rPr>
        <w:t xml:space="preserve">(7) GRASP-MO — baseline, multi-start GRASP with Pareto archive;</w:t>
      </w:r>
    </w:p>
    <w:p>
      <w:pPr>
        <w:spacing w:after="40" w:before="40" w:line="260"/>
        <w:ind w:left="720" w:hanging="360"/>
        <w:jc w:val="both"/>
      </w:pPr>
      <w:r>
        <w:rPr>
          <w:rFonts w:ascii="Times New Roman" w:cs="Times New Roman" w:eastAsia="Times New Roman" w:hAnsi="Times New Roman"/>
          <w:sz w:val="220"/>
          <w:szCs w:val="220"/>
        </w:rPr>
        <w:t xml:space="preserve">(8) GRASP-PR — state of the art, GRASP + path relinking (Colmenar et al., 2018).</w:t>
      </w:r>
    </w:p>
    <w:p>
      <w:pPr>
        <w:spacing w:after="60" w:before="60" w:line="276"/>
        <w:ind w:firstLine="720"/>
        <w:jc w:val="both"/>
      </w:pPr>
      <w:r>
        <w:rPr>
          <w:rFonts w:ascii="Times New Roman" w:cs="Times New Roman" w:eastAsia="Times New Roman" w:hAnsi="Times New Roman"/>
          <w:sz w:val="220"/>
          <w:szCs w:val="220"/>
        </w:rPr>
        <w:t xml:space="preserve">All methods use an evaluation budget of approximately 6 000 objective evaluations: MOEA/D-AOS runs T = 20 sub-problems for 300 generations (6 000 evaluations); NSGA-II uses population size 50 for 120 generations (6 000 evaluations); GRASP runs 300 iterations. Each method is executed with 3 independent replications per instance. MOEA/D and NSGA-II use a GRASP-based initialisation.</w:t>
      </w:r>
    </w:p>
    <w:p>
      <w:pPr>
        <w:spacing w:after="60" w:before="60" w:line="276"/>
        <w:ind w:firstLine="720"/>
        <w:jc w:val="both"/>
      </w:pPr>
      <w:r>
        <w:rPr>
          <w:rFonts w:ascii="Times New Roman" w:cs="Times New Roman" w:eastAsia="Times New Roman" w:hAnsi="Times New Roman"/>
          <w:sz w:val="220"/>
          <w:szCs w:val="220"/>
        </w:rPr>
        <w:t xml:space="preserve">Three quality indicators are computed relative to the combined reference front of all methods: (i) Hypervolume (HV, maximise), (ii) Set Coverage C(A, B) measuring the fraction of B dominated by A (higher is better), and (iii) Additive Epsilon Indicator ε+ (minimise). Statistical comparisons use the Wilcoxon signed-rank test across 19 instances at significance levels α ∈ {0.05, 0.01, 0.001} (symbols *, **, ***).</w:t>
      </w:r>
    </w:p>
    <w:p>
      <w:pPr>
        <w:pStyle w:val="Heading2"/>
        <w:spacing w:after="80" w:before="240"/>
      </w:pPr>
      <w:r>
        <w:rPr>
          <w:rFonts w:ascii="Times New Roman" w:cs="Times New Roman" w:eastAsia="Times New Roman" w:hAnsi="Times New Roman"/>
          <w:b/>
          <w:bCs/>
          <w:i/>
          <w:iCs/>
          <w:sz w:val="220"/>
          <w:szCs w:val="220"/>
        </w:rPr>
        <w:t xml:space="preserve">5.2. Main Results</w:t>
      </w:r>
    </w:p>
    <w:p>
      <w:pPr>
        <w:spacing w:after="80" w:before="60" w:line="276"/>
        <w:ind w:firstLine="720"/>
        <w:jc w:val="both"/>
      </w:pPr>
      <w:r>
        <w:rPr>
          <w:rFonts w:ascii="Times New Roman" w:cs="Times New Roman" w:eastAsia="Times New Roman" w:hAnsi="Times New Roman"/>
          <w:sz w:val="220"/>
          <w:szCs w:val="220"/>
        </w:rPr>
        <w:t xml:space="preserve">Table 1 reports mean hypervolume, set coverage, and additive epsilon indicator across all 19 instances and 3 replications. Results for the proposed methods (MOEA/D-AOS-HV and MOEA/D-Thompson-HV) are in bold. Methods marked † are literature baselines. Asterisks in the ε+ column denote statistically best performance (Wilcoxon, α = 0.05).</w:t>
      </w:r>
    </w:p>
    <w:p>
      <w:pPr>
        <w:spacing w:after="80" w:before="80"/>
        <w:jc w:val="center"/>
      </w:pPr>
      <w:r>
        <w:rPr>
          <w:rFonts w:ascii="Times New Roman" w:cs="Times New Roman" w:eastAsia="Times New Roman" w:hAnsi="Times New Roman"/>
          <w:i/>
          <w:iCs/>
          <w:sz w:val="200"/>
          <w:szCs w:val="200"/>
        </w:rPr>
        <w:t xml:space="preserve">Table 1. Comparative results (19 instances, 3 replications). Best values in bold.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rPr>
          <w:tblHeader/>
        </w:trPr>
        <w:tc>
          <w:tcPr>
            <w:tcW w:type="dxa" w:w="28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90"/>
                <w:szCs w:val="190"/>
              </w:rPr>
              <w:t xml:space="preserve">Method</w:t>
            </w:r>
          </w:p>
        </w:tc>
        <w:tc>
          <w:tcPr>
            <w:tcW w:type="dxa" w:w="15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HV (mean)</w:t>
            </w:r>
          </w:p>
        </w:tc>
        <w:tc>
          <w:tcPr>
            <w:tcW w:type="dxa" w:w="15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HV (std)</w:t>
            </w:r>
          </w:p>
        </w:tc>
        <w:tc>
          <w:tcPr>
            <w:tcW w:type="dxa" w:w="15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Coverage</w:t>
            </w:r>
          </w:p>
        </w:tc>
        <w:tc>
          <w:tcPr>
            <w:tcW w:type="dxa" w:w="15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ε+ (mean)</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GRASP-PR†</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11 381.55</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0.3157</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6.856</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GRASP-MO†</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11 170.80</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0.2704</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7.157</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NSGA-II</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8 434.40</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0.3687</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6.798</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MOEA/D-AOS-HV</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8 386.97</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0.3542</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5.795*</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MOEA/D-Thompson-HV</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8 183.98</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0.3882</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5.620*</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MOEA/D-random</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7 997.41</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0.3782</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6.108</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MOEA/D-Thompson-sc</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7 665.75</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0.3619</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6.355</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MOEA/D-AOS-scalar</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7 177.69</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0.3770</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6.986</w:t>
            </w:r>
          </w:p>
        </w:tc>
      </w:tr>
    </w:tbl>
    <w:p>
      <w:pPr>
        <w:spacing w:after="0" w:before="0" w:line="240"/>
      </w:pPr>
      <w:r>
        <w:t xml:space="preserve"/>
      </w:r>
    </w:p>
    <w:p>
      <w:pPr>
        <w:spacing w:after="80" w:before="80" w:line="276"/>
        <w:ind w:firstLine="720"/>
        <w:jc w:val="both"/>
      </w:pPr>
      <w:r>
        <w:rPr>
          <w:rFonts w:ascii="Times New Roman" w:cs="Times New Roman" w:eastAsia="Times New Roman" w:hAnsi="Times New Roman"/>
          <w:sz w:val="220"/>
          <w:szCs w:val="220"/>
        </w:rPr>
        <w:t xml:space="preserve">Table 2 presents Wilcoxon signed-rank test results for hypervolume comparisons. Significance codes: ** p &lt; 0.01; * p &lt; 0.05; ns p ≥ 0.05.</w:t>
      </w:r>
    </w:p>
    <w:p>
      <w:pPr>
        <w:spacing w:after="80" w:before="80"/>
        <w:jc w:val="center"/>
      </w:pPr>
      <w:r>
        <w:rPr>
          <w:rFonts w:ascii="Times New Roman" w:cs="Times New Roman" w:eastAsia="Times New Roman" w:hAnsi="Times New Roman"/>
          <w:i/>
          <w:iCs/>
          <w:sz w:val="200"/>
          <w:szCs w:val="200"/>
        </w:rPr>
        <w:t xml:space="preserve">Table 2. Wilcoxon signed-rank tests — Hypervolume (19 instances).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200"/>
        <w:gridCol w:w="700"/>
      </w:tblGrid>
      <w:tr>
        <w:trPr>
          <w:tblHeader/>
        </w:trPr>
        <w:tc>
          <w:tcPr>
            <w:tcW w:type="dxa" w:w="36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90"/>
                <w:szCs w:val="190"/>
              </w:rPr>
              <w:t xml:space="preserve">Comparison (A vs B)</w:t>
            </w:r>
          </w:p>
        </w:tc>
        <w:tc>
          <w:tcPr>
            <w:tcW w:type="dxa" w:w="14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Mean A</w:t>
            </w:r>
          </w:p>
        </w:tc>
        <w:tc>
          <w:tcPr>
            <w:tcW w:type="dxa" w:w="14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Mean B</w:t>
            </w:r>
          </w:p>
        </w:tc>
        <w:tc>
          <w:tcPr>
            <w:tcW w:type="dxa" w:w="12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p-value</w:t>
            </w:r>
          </w:p>
        </w:tc>
        <w:tc>
          <w:tcPr>
            <w:tcW w:type="dxa" w:w="7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90"/>
                <w:szCs w:val="190"/>
              </w:rPr>
              <w:t xml:space="preserve">Sig.</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MOEA/D-AOS-HV vs MOEA/D-random</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7 997</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0.1337</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ns</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MOEA/D-AOS-HV vs MOEA/D-AOS-scalar</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7 178</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0.0016</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MOEA/D-AOS-HV vs NSGA-II</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8 434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0.6192</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ns</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MOEA/D-AOS-HV vs GRASP-PR</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11 382</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0.0086</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MOEA/D-Thompson-HV vs AOS-HV</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8 184</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0.5349</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ns</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90"/>
                <w:szCs w:val="190"/>
              </w:rPr>
              <w:t xml:space="preserve">GRASP-PR vs MOEA/D-AOS-HV</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11 382</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 8 387</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0.0086</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90"/>
                <w:szCs w:val="190"/>
              </w:rPr>
              <w:t xml:space="preserve">**</w:t>
            </w:r>
          </w:p>
        </w:tc>
      </w:tr>
    </w:tbl>
    <w:p>
      <w:pPr>
        <w:spacing w:after="0" w:before="0" w:line="240"/>
      </w:pPr>
      <w:r>
        <w:t xml:space="preserve"/>
      </w:r>
    </w:p>
    <w:p>
      <w:pPr>
        <w:pStyle w:val="Heading2"/>
        <w:spacing w:after="80" w:before="240"/>
      </w:pPr>
      <w:r>
        <w:rPr>
          <w:rFonts w:ascii="Times New Roman" w:cs="Times New Roman" w:eastAsia="Times New Roman" w:hAnsi="Times New Roman"/>
          <w:b/>
          <w:bCs/>
          <w:i/>
          <w:iCs/>
          <w:sz w:val="220"/>
          <w:szCs w:val="220"/>
        </w:rPr>
        <w:t xml:space="preserve">5.3. Discussion</w:t>
      </w:r>
    </w:p>
    <w:p>
      <w:pPr>
        <w:spacing w:after="60" w:before="60" w:line="276"/>
        <w:ind w:firstLine="720"/>
        <w:jc w:val="both"/>
      </w:pPr>
      <w:r>
        <w:rPr>
          <w:rFonts w:ascii="Times New Roman" w:cs="Times New Roman" w:eastAsia="Times New Roman" w:hAnsi="Times New Roman"/>
          <w:sz w:val="220"/>
          <w:szCs w:val="220"/>
        </w:rPr>
        <w:t xml:space="preserve">Table 1 summarises results averaged over 19 instances and 3 replications. The most striking finding is the dominance of GRASP-PR in terms of hypervolume, with a mean HV of 11 381.55 compared to 8 386.97 for MOEA/D-AOS-HV. The Wilcoxon test confirms this difference is statistically significant (p = 0.0086, **). The constructive nature of GRASP naturally promotes diversity at each iteration, which is a structural advantage for the MDP where the objective function directly rewards pairwise diversity.</w:t>
      </w:r>
    </w:p>
    <w:p>
      <w:pPr>
        <w:spacing w:after="60" w:before="60" w:line="276"/>
        <w:ind w:firstLine="720"/>
        <w:jc w:val="both"/>
      </w:pPr>
      <w:r>
        <w:rPr>
          <w:rFonts w:ascii="Times New Roman" w:cs="Times New Roman" w:eastAsia="Times New Roman" w:hAnsi="Times New Roman"/>
          <w:sz w:val="220"/>
          <w:szCs w:val="220"/>
        </w:rPr>
        <w:t xml:space="preserve">Notably, however, MOEA/D-AOS-HV achieves the best additive epsilon indicator among all methods (ε+ = 5.795), outperforming GRASP-PR (ε+ = 6.856) and NSGA-II (ε+ = 6.798). The epsilon indicator measures how much a reference front must be shifted to be dominated by the approximation set; a lower value indicates better coverage of the reference front in the weakly-dominance sense. This suggests that MOEA/D-AOS produces Pareto fronts that are better spread relative to the global reference, even if their absolute hypervolume is lower. GRASP-PR, by contrast, tends to concentrate solutions in regions of high aggregate diversity (high f₁), yielding larger hypervolume but sparser coverage of the f₂-dominated regions.</w:t>
      </w:r>
    </w:p>
    <w:p>
      <w:pPr>
        <w:spacing w:after="60" w:before="60" w:line="276"/>
        <w:ind w:firstLine="720"/>
        <w:jc w:val="both"/>
      </w:pPr>
      <w:r>
        <w:rPr>
          <w:rFonts w:ascii="Times New Roman" w:cs="Times New Roman" w:eastAsia="Times New Roman" w:hAnsi="Times New Roman"/>
          <w:sz w:val="220"/>
          <w:szCs w:val="220"/>
        </w:rPr>
        <w:t xml:space="preserve">Among MOEA/D variants, MOEA/D-AOS-HV significantly outperforms MOEA/D-AOS-scalar (p = 0.0016, **). Analysis of operator Q-values reveals the mechanistic reason: under the scalar reward, GraspGreedy accumulates the highest Q-value (Q = 0.584 for GKD-d instances), as rebuilding the entire solution with GRASP guidance regularly produces large improvements in the Tchebycheff scalar. Under the hypervolume reward, however, RandomSwap1×1 dominates (Q = 0.088), indicating that small perturbations that marginally push the Pareto front outward are rewarded more consistently. This difference explains the better diversity of the HV-reward variant: the UCB favours frequent small improvements over sporadic large jumps, producing a denser and better-spread approximation set.</w:t>
      </w:r>
    </w:p>
    <w:p>
      <w:pPr>
        <w:spacing w:after="60" w:before="60" w:line="276"/>
        <w:ind w:firstLine="720"/>
        <w:jc w:val="both"/>
      </w:pPr>
      <w:r>
        <w:rPr>
          <w:rFonts w:ascii="Times New Roman" w:cs="Times New Roman" w:eastAsia="Times New Roman" w:hAnsi="Times New Roman"/>
          <w:sz w:val="220"/>
          <w:szCs w:val="220"/>
        </w:rPr>
        <w:t xml:space="preserve">MOEA/D-Thompson-HV achieves the best epsilon indicator overall (ε+ = 5.620) and performs comparably to MOEA/D-AOS-HV in hypervolume (p = 0.5349, ns), confirming that Thompson Sampling is a viable alternative to UCB1 without requiring tuning of the exploration coefficient c. Its slightly lower HV mean may reflect higher variance in operator sampling during early iterations, but this does not translate into worse front quality.</w:t>
      </w:r>
    </w:p>
    <w:p>
      <w:pPr>
        <w:spacing w:after="60" w:before="60" w:line="276"/>
        <w:ind w:firstLine="720"/>
        <w:jc w:val="both"/>
      </w:pPr>
      <w:r>
        <w:rPr>
          <w:rFonts w:ascii="Times New Roman" w:cs="Times New Roman" w:eastAsia="Times New Roman" w:hAnsi="Times New Roman"/>
          <w:sz w:val="220"/>
          <w:szCs w:val="220"/>
        </w:rPr>
        <w:t xml:space="preserve">MOEA/D-AOS-HV and NSGA-II are statistically indistinguishable in HV (p = 0.6192, ns), with NSGA-II holding a marginal mean advantage (8 434 vs 8 387). NSGA-II uses a population-level crossover operator that combines pairs of solutions, which can be advantageous for larger instances with higher m/n ratios. Nevertheless, MOEA/D-AOS achieves better epsilon coverage, suggesting different trade-off regions are explored.</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6. Conclusions</w:t>
      </w:r>
    </w:p>
    <w:p>
      <w:pPr>
        <w:spacing w:after="60" w:before="60" w:line="276"/>
        <w:ind w:firstLine="720"/>
        <w:jc w:val="both"/>
      </w:pPr>
      <w:r>
        <w:rPr>
          <w:rFonts w:ascii="Times New Roman" w:cs="Times New Roman" w:eastAsia="Times New Roman" w:hAnsi="Times New Roman"/>
          <w:sz w:val="220"/>
          <w:szCs w:val="220"/>
        </w:rPr>
        <w:t xml:space="preserve">This paper presented MOEA/D-AOS, a decomposition-based multi-objective evolutionary algorithm with bandit-driven adaptive operator selection for the bi-objective Maximum Diversity Problem. The hypervolume-reward UCB1 variant significantly outperforms the scalar-reward baseline (p = 0.0016), and Thompson Sampling matches UCB1 performance without an exploration hyperparameter. MOEA/D-AOS achieves the best additive epsilon indicator among all compared methods, indicating well-spread Pareto fronts, although GRASP with path relinking achieves significantly higher hypervolume.</w:t>
      </w:r>
    </w:p>
    <w:p>
      <w:pPr>
        <w:spacing w:after="60" w:before="60" w:line="276"/>
        <w:ind w:firstLine="720"/>
        <w:jc w:val="both"/>
      </w:pPr>
      <w:r>
        <w:rPr>
          <w:rFonts w:ascii="Times New Roman" w:cs="Times New Roman" w:eastAsia="Times New Roman" w:hAnsi="Times New Roman"/>
          <w:sz w:val="220"/>
          <w:szCs w:val="220"/>
        </w:rPr>
        <w:t xml:space="preserve">Analysis of operator Q-values provides interpretable insight: the algorithm learns that small perturbative swaps (RandomSwap1×1) yield more consistent hypervolume improvements than large reconstructive moves (GraspGreedy), a pattern that reverses under the scalar reward. This qualitative difference in learned behaviour supports the choice of hypervolume as the reward signal for multi-objective AOS.</w:t>
      </w:r>
    </w:p>
    <w:p>
      <w:pPr>
        <w:spacing w:after="60" w:before="60" w:line="276"/>
        <w:ind w:firstLine="720"/>
        <w:jc w:val="both"/>
      </w:pPr>
      <w:r>
        <w:rPr>
          <w:rFonts w:ascii="Times New Roman" w:cs="Times New Roman" w:eastAsia="Times New Roman" w:hAnsi="Times New Roman"/>
          <w:sz w:val="220"/>
          <w:szCs w:val="220"/>
        </w:rPr>
        <w:t xml:space="preserve">Future work includes: (i) extending the benchmark to larger instances (n ∈ {250, 500}) and the MDG-b and MDG-c families; (ii) incorporating population-level crossover as an operator to close the gap with NSGA-II; (iii) investigating adaptive reference-point strategies for the hypervolume reward; and (iv) applying the MOEA/D-AOS framework to related diversity-based problems such as the Maximum Dispersion Problem and p-dispersion.</w:t>
      </w:r>
    </w:p>
    <w:p>
      <w:pPr>
        <w:spacing w:after="0" w:before="0" w:line="240"/>
      </w:pPr>
      <w:r>
        <w:t xml:space="preserve"/>
      </w:r>
    </w:p>
    <w:p>
      <w:pPr>
        <w:pStyle w:val="Heading1"/>
        <w:spacing w:after="120" w:before="320"/>
      </w:pPr>
      <w:r>
        <w:rPr>
          <w:rFonts w:ascii="Times New Roman" w:cs="Times New Roman" w:eastAsia="Times New Roman" w:hAnsi="Times New Roman"/>
          <w:b/>
          <w:bCs/>
          <w:sz w:val="240"/>
          <w:szCs w:val="240"/>
        </w:rPr>
        <w:t xml:space="preserve">References</w:t>
      </w:r>
    </w:p>
    <w:p>
      <w:pPr>
        <w:spacing w:after="40" w:before="40" w:line="260"/>
        <w:ind w:left="720" w:hanging="720"/>
        <w:jc w:val="both"/>
      </w:pPr>
      <w:r>
        <w:rPr>
          <w:rFonts w:ascii="Times New Roman" w:cs="Times New Roman" w:eastAsia="Times New Roman" w:hAnsi="Times New Roman"/>
          <w:sz w:val="200"/>
          <w:szCs w:val="200"/>
        </w:rPr>
        <w:t xml:space="preserve">Aringhieri, R., Cordone, R., &amp; Melzani, Y. (2008). Tabu search versus GRASP for the maximum diversity problem. 4OR, 6(1), 45–60.</w:t>
      </w:r>
    </w:p>
    <w:p>
      <w:pPr>
        <w:spacing w:after="40" w:before="40" w:line="260"/>
        <w:ind w:left="720" w:hanging="720"/>
        <w:jc w:val="both"/>
      </w:pPr>
      <w:r>
        <w:rPr>
          <w:rFonts w:ascii="Times New Roman" w:cs="Times New Roman" w:eastAsia="Times New Roman" w:hAnsi="Times New Roman"/>
          <w:sz w:val="200"/>
          <w:szCs w:val="200"/>
        </w:rPr>
        <w:t xml:space="preserve">Auer, P., Cesa-Bianchi, N., &amp; Fischer, P. (2002). Finite-time analysis of the multiarmed bandit problem. Machine Learning, 47, 235–256.</w:t>
      </w:r>
    </w:p>
    <w:p>
      <w:pPr>
        <w:spacing w:after="40" w:before="40" w:line="260"/>
        <w:ind w:left="720" w:hanging="720"/>
        <w:jc w:val="both"/>
      </w:pPr>
      <w:r>
        <w:rPr>
          <w:rFonts w:ascii="Times New Roman" w:cs="Times New Roman" w:eastAsia="Times New Roman" w:hAnsi="Times New Roman"/>
          <w:sz w:val="200"/>
          <w:szCs w:val="200"/>
        </w:rPr>
        <w:t xml:space="preserve">Chapelle, O., &amp; Li, L. (2011). An empirical evaluation of Thompson sampling. Advances in Neural Information Processing Systems, 24.</w:t>
      </w:r>
    </w:p>
    <w:p>
      <w:pPr>
        <w:spacing w:after="40" w:before="40" w:line="260"/>
        <w:ind w:left="720" w:hanging="720"/>
        <w:jc w:val="both"/>
      </w:pPr>
      <w:r>
        <w:rPr>
          <w:rFonts w:ascii="Times New Roman" w:cs="Times New Roman" w:eastAsia="Times New Roman" w:hAnsi="Times New Roman"/>
          <w:sz w:val="200"/>
          <w:szCs w:val="200"/>
        </w:rPr>
        <w:t xml:space="preserve">Colmenar, J. M., Martí, R., &amp; Duarte, A. (2018). Multi-objective optimization for the maximum diversity problem. Applied Soft Computing, 62, 313–324.</w:t>
      </w:r>
    </w:p>
    <w:p>
      <w:pPr>
        <w:spacing w:after="40" w:before="40" w:line="260"/>
        <w:ind w:left="720" w:hanging="720"/>
        <w:jc w:val="both"/>
      </w:pPr>
      <w:r>
        <w:rPr>
          <w:rFonts w:ascii="Times New Roman" w:cs="Times New Roman" w:eastAsia="Times New Roman" w:hAnsi="Times New Roman"/>
          <w:sz w:val="200"/>
          <w:szCs w:val="200"/>
        </w:rPr>
        <w:t xml:space="preserve">DaCosta, L., Fialho, Á., Schoenauer, M., &amp; Sebag, M. (2008). Adaptive operator selection with dynamic multi-armed bandits. Proceedings of GECCO 2008, 913–920.</w:t>
      </w:r>
    </w:p>
    <w:p>
      <w:pPr>
        <w:spacing w:after="40" w:before="40" w:line="260"/>
        <w:ind w:left="720" w:hanging="720"/>
        <w:jc w:val="both"/>
      </w:pPr>
      <w:r>
        <w:rPr>
          <w:rFonts w:ascii="Times New Roman" w:cs="Times New Roman" w:eastAsia="Times New Roman" w:hAnsi="Times New Roman"/>
          <w:sz w:val="200"/>
          <w:szCs w:val="200"/>
        </w:rPr>
        <w:t xml:space="preserve">Deb, K., Pratap, A., Agarwal, S., &amp; Meyarivan, T. (2002). A fast and elitist multiobjective genetic algorithm: NSGA-II. IEEE Transactions on Evolutionary Computation, 6(2), 182–197.</w:t>
      </w:r>
    </w:p>
    <w:p>
      <w:pPr>
        <w:spacing w:after="40" w:before="40" w:line="260"/>
        <w:ind w:left="720" w:hanging="720"/>
        <w:jc w:val="both"/>
      </w:pPr>
      <w:r>
        <w:rPr>
          <w:rFonts w:ascii="Times New Roman" w:cs="Times New Roman" w:eastAsia="Times New Roman" w:hAnsi="Times New Roman"/>
          <w:sz w:val="200"/>
          <w:szCs w:val="200"/>
        </w:rPr>
        <w:t xml:space="preserve">Duarte, A., &amp; Martí, R. (2007). Tabu search and GRASP for the maximum diversity problem. European Journal of Operational Research, 178(1), 71–84.</w:t>
      </w:r>
    </w:p>
    <w:p>
      <w:pPr>
        <w:spacing w:after="40" w:before="40" w:line="260"/>
        <w:ind w:left="720" w:hanging="720"/>
        <w:jc w:val="both"/>
      </w:pPr>
      <w:r>
        <w:rPr>
          <w:rFonts w:ascii="Times New Roman" w:cs="Times New Roman" w:eastAsia="Times New Roman" w:hAnsi="Times New Roman"/>
          <w:sz w:val="200"/>
          <w:szCs w:val="200"/>
        </w:rPr>
        <w:t xml:space="preserve">Fialho, Á., Da Costa, L., Schoenauer, M., &amp; Sebag, M. (2010). Analyzing bandit-based adaptive operator selection mechanisms. Annals of Mathematics and Artificial Intelligence, 60(1), 25–64.</w:t>
      </w:r>
    </w:p>
    <w:p>
      <w:pPr>
        <w:spacing w:after="40" w:before="40" w:line="260"/>
        <w:ind w:left="720" w:hanging="720"/>
        <w:jc w:val="both"/>
      </w:pPr>
      <w:r>
        <w:rPr>
          <w:rFonts w:ascii="Times New Roman" w:cs="Times New Roman" w:eastAsia="Times New Roman" w:hAnsi="Times New Roman"/>
          <w:sz w:val="200"/>
          <w:szCs w:val="200"/>
        </w:rPr>
        <w:t xml:space="preserve">Gallego, M., Laguna, M., Martí, R., &amp; Duarte, A. (2013). Tabu search with strategic oscillation for the maximally diverse grouping problem. Journal of the Operational Research Society, 64(5), 724–734.</w:t>
      </w:r>
    </w:p>
    <w:p>
      <w:pPr>
        <w:spacing w:after="40" w:before="40" w:line="260"/>
        <w:ind w:left="720" w:hanging="720"/>
        <w:jc w:val="both"/>
      </w:pPr>
      <w:r>
        <w:rPr>
          <w:rFonts w:ascii="Times New Roman" w:cs="Times New Roman" w:eastAsia="Times New Roman" w:hAnsi="Times New Roman"/>
          <w:sz w:val="200"/>
          <w:szCs w:val="200"/>
        </w:rPr>
        <w:t xml:space="preserve">Ghosh, J. B. (1996). Computational aspects of the maximum diversity problem. Operations Research Letters, 19(4), 175–181.</w:t>
      </w:r>
    </w:p>
    <w:p>
      <w:pPr>
        <w:spacing w:after="40" w:before="40" w:line="260"/>
        <w:ind w:left="720" w:hanging="720"/>
        <w:jc w:val="both"/>
      </w:pPr>
      <w:r>
        <w:rPr>
          <w:rFonts w:ascii="Times New Roman" w:cs="Times New Roman" w:eastAsia="Times New Roman" w:hAnsi="Times New Roman"/>
          <w:sz w:val="200"/>
          <w:szCs w:val="200"/>
        </w:rPr>
        <w:t xml:space="preserve">Glover, F., Kuo, C. C., &amp; Dhir, K. S. (1998). Heuristic algorithms for the maximum diversity problem. Journal of Information and Optimization Sciences, 19(1), 109–132.</w:t>
      </w:r>
    </w:p>
    <w:p>
      <w:pPr>
        <w:spacing w:after="40" w:before="40" w:line="260"/>
        <w:ind w:left="720" w:hanging="720"/>
        <w:jc w:val="both"/>
      </w:pPr>
      <w:r>
        <w:rPr>
          <w:rFonts w:ascii="Times New Roman" w:cs="Times New Roman" w:eastAsia="Times New Roman" w:hAnsi="Times New Roman"/>
          <w:sz w:val="200"/>
          <w:szCs w:val="200"/>
        </w:rPr>
        <w:t xml:space="preserve">Kuo, C. C., Glover, F., &amp; Dhir, K. S. (1993). Analyzing and modeling the maximum diversity problem by zero-one programming. Decision Sciences, 24(6), 1171–1185.</w:t>
      </w:r>
    </w:p>
    <w:p>
      <w:pPr>
        <w:spacing w:after="40" w:before="40" w:line="260"/>
        <w:ind w:left="720" w:hanging="720"/>
        <w:jc w:val="both"/>
      </w:pPr>
      <w:r>
        <w:rPr>
          <w:rFonts w:ascii="Times New Roman" w:cs="Times New Roman" w:eastAsia="Times New Roman" w:hAnsi="Times New Roman"/>
          <w:sz w:val="200"/>
          <w:szCs w:val="200"/>
        </w:rPr>
        <w:t xml:space="preserve">Li, H., &amp; Zhang, Q. (2009). Multiobjective optimization problems with complicated Pareto sets, MOEA/D and NSGA-II. IEEE Transactions on Evolutionary Computation, 13(2), 284–302.</w:t>
      </w:r>
    </w:p>
    <w:p>
      <w:pPr>
        <w:spacing w:after="40" w:before="40" w:line="260"/>
        <w:ind w:left="720" w:hanging="720"/>
        <w:jc w:val="both"/>
      </w:pPr>
      <w:r>
        <w:rPr>
          <w:rFonts w:ascii="Times New Roman" w:cs="Times New Roman" w:eastAsia="Times New Roman" w:hAnsi="Times New Roman"/>
          <w:sz w:val="200"/>
          <w:szCs w:val="200"/>
        </w:rPr>
        <w:t xml:space="preserve">Martí, R., Gallego, M., &amp; Duarte, A. (2010). A branch and bound algorithm for the maximum diversity problem. European Journal of Operational Research, 200(1), 36–44.</w:t>
      </w:r>
    </w:p>
    <w:p>
      <w:pPr>
        <w:spacing w:after="40" w:before="40" w:line="260"/>
        <w:ind w:left="720" w:hanging="720"/>
        <w:jc w:val="both"/>
      </w:pPr>
      <w:r>
        <w:rPr>
          <w:rFonts w:ascii="Times New Roman" w:cs="Times New Roman" w:eastAsia="Times New Roman" w:hAnsi="Times New Roman"/>
          <w:sz w:val="200"/>
          <w:szCs w:val="200"/>
        </w:rPr>
        <w:t xml:space="preserve">Maturana, J., Fialho, Á., Saubion, F., Schoenauer, M., &amp; Sebag, M. (2010). Adaptive operator selection and management in evolutionary algorithms. In LION 4, LNCS 6073, 172–190.</w:t>
      </w:r>
    </w:p>
    <w:p>
      <w:pPr>
        <w:spacing w:after="40" w:before="40" w:line="260"/>
        <w:ind w:left="720" w:hanging="720"/>
        <w:jc w:val="both"/>
      </w:pPr>
      <w:r>
        <w:rPr>
          <w:rFonts w:ascii="Times New Roman" w:cs="Times New Roman" w:eastAsia="Times New Roman" w:hAnsi="Times New Roman"/>
          <w:sz w:val="200"/>
          <w:szCs w:val="200"/>
        </w:rPr>
        <w:t xml:space="preserve">Thompson, W. R. (1933). On the likelihood that one unknown probability exceeds another in view of the evidence of two samples. Biometrika, 25(3–4), 285–294.</w:t>
      </w:r>
    </w:p>
    <w:p>
      <w:pPr>
        <w:spacing w:after="40" w:before="40" w:line="260"/>
        <w:ind w:left="720" w:hanging="720"/>
        <w:jc w:val="both"/>
      </w:pPr>
      <w:r>
        <w:rPr>
          <w:rFonts w:ascii="Times New Roman" w:cs="Times New Roman" w:eastAsia="Times New Roman" w:hAnsi="Times New Roman"/>
          <w:sz w:val="200"/>
          <w:szCs w:val="200"/>
        </w:rPr>
        <w:t xml:space="preserve">Zhang, Q., &amp; Li, H. (2007). MOEA/D: A multiobjective evolutionary algorithm based on decomposition. IEEE Transactions on Evolutionary Computation, 11(6), 712–731.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0"/>
        <w:szCs w:val="180"/>
      </w:rPr>
      <w:t xml:space="preserve">Page </w:t>
    </w:r>
    <w:r>
      <w:rPr>
        <w:rFonts w:ascii="Times New Roman" w:cs="Times New Roman" w:eastAsia="Times New Roman" w:hAnsi="Times New Roman"/>
        <w:color w:val="777777"/>
        <w:sz w:val="180"/>
        <w:szCs w:val="18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6"/>
      </w:pBdr>
      <w:jc w:val="right"/>
    </w:pPr>
    <w:r>
      <w:rPr>
        <w:rFonts w:ascii="Times New Roman" w:cs="Times New Roman" w:eastAsia="Times New Roman" w:hAnsi="Times New Roman"/>
        <w:color w:val="777777"/>
        <w:sz w:val="180"/>
        <w:szCs w:val="180"/>
      </w:rPr>
      <w:t xml:space="preserve">MOEA/D-AOS for the Bi-Objective MDP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0"/>
        <w:szCs w:val="2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40"/>
      <w:szCs w:val="24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color w:val="000000"/>
      <w:sz w:val="220"/>
      <w:szCs w:val="2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2026-04-30T21:29:44.264Z</dcterms:created>
  <dcterms:modified xsi:type="dcterms:W3CDTF">2026-04-30T21:29:44.264Z</dcterms:modified>
</cp:coreProperties>
</file>

<file path=docProps/custom.xml><?xml version="1.0" encoding="utf-8"?>
<Properties xmlns="http://schemas.openxmlformats.org/officeDocument/2006/custom-properties" xmlns:vt="http://schemas.openxmlformats.org/officeDocument/2006/docPropsVTypes"/>
</file>