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Bi-objective dispersion benchmarked on 443 MDP, CDP and GDP instances</w:t>
      </w:r>
    </w:p>
    <w:p>
      <w:pPr>
        <w:pStyle w:val="ListBullet"/>
      </w:pPr>
      <w:r>
        <w:t>Scaling objectives inside the Tchebycheff function is the key MOEA/D design choice</w:t>
      </w:r>
    </w:p>
    <w:p>
      <w:pPr>
        <w:pStyle w:val="ListBullet"/>
      </w:pPr>
      <w:r>
        <w:t>Adaptive operator selection pays off only on large or tightly constrained cases</w:t>
      </w:r>
    </w:p>
    <w:p>
      <w:pPr>
        <w:pStyle w:val="ListBullet"/>
      </w:pPr>
      <w:r>
        <w:t>MOEA/D leads tuned baselines on constrained problems, not on the plain MDP</w:t>
      </w:r>
    </w:p>
    <w:p>
      <w:pPr>
        <w:pStyle w:val="ListBullet"/>
      </w:pPr>
      <w:r>
        <w:t>A short MaxMin anchoring step brings the front's extreme near published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