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3A5C"/>
          <w:sz w:val="52"/>
          <w:szCs w:val="52"/>
        </w:rPr>
        <w:t xml:space="preserve">OUROBOROS II REPORT</w:t>
      </w:r>
    </w:p>
    <w:p>
      <w:pPr>
        <w:spacing w:after="80" w:before="0"/>
      </w:pPr>
      <w:r>
        <w:rPr>
          <w:rFonts w:ascii="Arial" w:cs="Arial" w:eastAsia="Arial" w:hAnsi="Arial"/>
          <w:i/>
          <w:iCs/>
          <w:color w:val="2E5F8A"/>
          <w:sz w:val="28"/>
          <w:szCs w:val="28"/>
        </w:rPr>
        <w:t xml:space="preserve">Forensic Validation of Aitiopoietic Distinction in Artificial Cognition</w:t>
      </w:r>
    </w:p>
    <w:p>
      <w:pPr>
        <w:spacing w:after="60" w:before="0"/>
      </w:pPr>
      <w:r>
        <w:rPr>
          <w:rFonts w:ascii="Arial" w:cs="Arial" w:eastAsia="Arial" w:hAnsi="Arial"/>
          <w:color w:val="555555"/>
          <w:sz w:val="22"/>
          <w:szCs w:val="22"/>
        </w:rPr>
        <w:t xml:space="preserve">A Comparative Self-Adjudication of Two Related Papers by the Same Author</w:t>
      </w:r>
    </w:p>
    <w:p>
      <w:pPr>
        <w:spacing w:after="60" w:before="0"/>
      </w:pPr>
      <w:r>
        <w:rPr>
          <w:rFonts w:ascii="Arial" w:cs="Arial" w:eastAsia="Arial" w:hAnsi="Arial"/>
          <w:color w:val="777777"/>
          <w:sz w:val="20"/>
          <w:szCs w:val="20"/>
        </w:rPr>
        <w:t xml:space="preserve">System Version: DNI v4.0  |  Date: 19 April 2026  |  Author: Carlos Arleo</w:t>
      </w:r>
    </w:p>
    <w:p>
      <w:pPr>
        <w:spacing w:after="60" w:before="0"/>
      </w:pPr>
      <w:r>
        <w:rPr>
          <w:rFonts w:ascii="Arial" w:cs="Arial" w:eastAsia="Arial" w:hAnsi="Arial"/>
          <w:b/>
          <w:bCs/>
          <w:color w:val="1A7A3A"/>
          <w:sz w:val="20"/>
          <w:szCs w:val="20"/>
        </w:rPr>
        <w:t xml:space="preserve">Status: CONSTITUTIONALLY VALIDATED</w:t>
      </w: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I: Executive Summary</w:t>
      </w:r>
    </w:p>
    <w:p>
      <w:pPr>
        <w:spacing w:after="160" w:before="100"/>
      </w:pPr>
      <w:r>
        <w:rPr>
          <w:rFonts w:ascii="Arial" w:cs="Arial" w:eastAsia="Arial" w:hAnsi="Arial"/>
          <w:sz w:val="22"/>
          <w:szCs w:val="22"/>
        </w:rPr>
        <w:t xml:space="preserve">The Ouroboros II Test extends the original Ouroboros integrity proof by subjecting the DNI v4.0 system to a more demanding challenge: the simultaneous adjudication of </w:t>
      </w:r>
      <w:r>
        <w:rPr>
          <w:rFonts w:ascii="Arial" w:cs="Arial" w:eastAsia="Arial" w:hAnsi="Arial"/>
          <w:b/>
          <w:bCs/>
          <w:sz w:val="22"/>
          <w:szCs w:val="22"/>
        </w:rPr>
        <w:t xml:space="preserve">two papers by the same author</w:t>
      </w:r>
      <w:r>
        <w:rPr>
          <w:rFonts w:ascii="Arial" w:cs="Arial" w:eastAsia="Arial" w:hAnsi="Arial"/>
          <w:sz w:val="22"/>
          <w:szCs w:val="22"/>
        </w:rPr>
        <w:t xml:space="preserve">, on the same foundational topic, published five months apart. The test asks not merely whether the system resists self-inflation — already proven in Ouroboros I — but whether it can </w:t>
      </w:r>
      <w:r>
        <w:rPr>
          <w:rFonts w:ascii="Arial" w:cs="Arial" w:eastAsia="Arial" w:hAnsi="Arial"/>
          <w:b/>
          <w:bCs/>
          <w:sz w:val="22"/>
          <w:szCs w:val="22"/>
        </w:rPr>
        <w:t xml:space="preserve">distinguish meaningfully between structurally different contributions from the same source</w:t>
      </w:r>
      <w:r>
        <w:rPr>
          <w:rFonts w:ascii="Arial" w:cs="Arial" w:eastAsia="Arial" w:hAnsi="Arial"/>
          <w:sz w:val="22"/>
          <w:szCs w:val="22"/>
        </w:rPr>
        <w:t xml:space="preserve">, applying different constitutional rules to each.</w:t>
      </w:r>
    </w:p>
    <w:p>
      <w:pPr>
        <w:spacing w:after="160" w:before="100"/>
      </w:pPr>
      <w:r>
        <w:rPr>
          <w:rFonts w:ascii="Arial" w:cs="Arial" w:eastAsia="Arial" w:hAnsi="Arial"/>
          <w:sz w:val="22"/>
          <w:szCs w:val="22"/>
        </w:rPr>
        <w:t xml:space="preserve">The result is a complete integrity proof. Paper 1, a theoretical framework published on 23 November 2025, was correctly identified as knowledge consolidation and capped at 0.45 by the Review Cap veto — exactly as documented in the original Ouroboros Report. Paper 2, an empirical continuation published on 16 April 2026, was assessed independently and awarded a score of 0.7162 (Highly Novel) with 0.9555 confidence — the veto did not fire. The system made the correct constitutional distinction between these two contributions without human intervention.</w:t>
      </w:r>
    </w:p>
    <w:p>
      <w:pPr>
        <w:spacing w:after="200" w:before="120"/>
      </w:pPr>
      <w:r>
        <w:rPr>
          <w:rFonts w:ascii="Arial" w:cs="Arial" w:eastAsia="Arial" w:hAnsi="Arial"/>
          <w:b/>
          <w:bCs/>
          <w:sz w:val="22"/>
          <w:szCs w:val="22"/>
        </w:rPr>
        <w:t xml:space="preserve">This is the most demanding self-integrity test possible: same author, same foundational topic, different structural type, different constitutional outcome.</w:t>
      </w: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II: The Two Papers</w:t>
      </w:r>
    </w:p>
    <w:p>
      <w:pPr>
        <w:pStyle w:val="Heading2"/>
        <w:spacing w:after="140" w:before="280"/>
      </w:pPr>
      <w:r>
        <w:rPr>
          <w:rFonts w:ascii="Arial" w:cs="Arial" w:eastAsia="Arial" w:hAnsi="Arial"/>
          <w:b/>
          <w:bCs/>
          <w:color w:val="1A3A5C"/>
          <w:sz w:val="26"/>
          <w:szCs w:val="26"/>
        </w:rPr>
        <w:t xml:space="preserve">Paper 1 — The Theoretical Foundation</w:t>
      </w:r>
    </w:p>
    <w:p>
      <w:pPr>
        <w:spacing w:after="160" w:before="100"/>
      </w:pPr>
      <w:r>
        <w:rPr>
          <w:rFonts w:ascii="Arial" w:cs="Arial" w:eastAsia="Arial" w:hAnsi="Arial"/>
          <w:b/>
          <w:bCs/>
          <w:sz w:val="22"/>
          <w:szCs w:val="22"/>
        </w:rPr>
        <w:t xml:space="preserve">Title: </w:t>
      </w:r>
      <w:r>
        <w:rPr>
          <w:rFonts w:ascii="Arial" w:cs="Arial" w:eastAsia="Arial" w:hAnsi="Arial"/>
          <w:sz w:val="22"/>
          <w:szCs w:val="22"/>
        </w:rPr>
        <w:t xml:space="preserve">Constitutional Physics: Empirical Validation of Aitiopoietic Cognition in Artificial Governance Systems</w:t>
      </w:r>
    </w:p>
    <w:p>
      <w:pPr>
        <w:spacing w:after="160" w:before="100"/>
      </w:pPr>
      <w:r>
        <w:rPr>
          <w:rFonts w:ascii="Arial" w:cs="Arial" w:eastAsia="Arial" w:hAnsi="Arial"/>
          <w:b/>
          <w:bCs/>
          <w:sz w:val="22"/>
          <w:szCs w:val="22"/>
        </w:rPr>
        <w:t xml:space="preserve">DOI: </w:t>
      </w:r>
      <w:hyperlink w:history="1" r:id="rIdgkaoa_26khvzrq4u8ljsd">
        <w:r>
          <w:rPr>
            <w:rStyle w:val="Hyperlink"/>
            <w:rFonts w:ascii="Arial" w:cs="Arial" w:eastAsia="Arial" w:hAnsi="Arial"/>
            <w:sz w:val="22"/>
            <w:szCs w:val="22"/>
          </w:rPr>
          <w:t xml:space="preserve">https://doi.org/10.5281/zenodo.17692900</w:t>
        </w:r>
      </w:hyperlink>
    </w:p>
    <w:p>
      <w:pPr>
        <w:spacing w:after="160" w:before="100"/>
      </w:pPr>
      <w:r>
        <w:rPr>
          <w:rFonts w:ascii="Arial" w:cs="Arial" w:eastAsia="Arial" w:hAnsi="Arial"/>
          <w:b/>
          <w:bCs/>
          <w:sz w:val="22"/>
          <w:szCs w:val="22"/>
        </w:rPr>
        <w:t xml:space="preserve">Published: </w:t>
      </w:r>
      <w:r>
        <w:rPr>
          <w:rFonts w:ascii="Arial" w:cs="Arial" w:eastAsia="Arial" w:hAnsi="Arial"/>
          <w:sz w:val="22"/>
          <w:szCs w:val="22"/>
        </w:rPr>
        <w:t xml:space="preserve">23 November 2025</w:t>
      </w:r>
    </w:p>
    <w:p>
      <w:pPr>
        <w:spacing w:after="160" w:before="100"/>
      </w:pPr>
      <w:r>
        <w:rPr>
          <w:rFonts w:ascii="Arial" w:cs="Arial" w:eastAsia="Arial" w:hAnsi="Arial"/>
          <w:b/>
          <w:bCs/>
          <w:sz w:val="22"/>
          <w:szCs w:val="22"/>
        </w:rPr>
        <w:t xml:space="preserve">Engagement: </w:t>
      </w:r>
      <w:r>
        <w:rPr>
          <w:rFonts w:ascii="Arial" w:cs="Arial" w:eastAsia="Arial" w:hAnsi="Arial"/>
          <w:sz w:val="22"/>
          <w:szCs w:val="22"/>
        </w:rPr>
        <w:t xml:space="preserve">1,139 views — 1,286 downloads since publication</w:t>
      </w:r>
    </w:p>
    <w:p>
      <w:pPr>
        <w:spacing w:after="160" w:before="100"/>
      </w:pPr>
      <w:r>
        <w:rPr>
          <w:rFonts w:ascii="Arial" w:cs="Arial" w:eastAsia="Arial" w:hAnsi="Arial"/>
          <w:b/>
          <w:bCs/>
          <w:sz w:val="22"/>
          <w:szCs w:val="22"/>
        </w:rPr>
        <w:t xml:space="preserve">Nature: </w:t>
      </w:r>
      <w:r>
        <w:rPr>
          <w:rFonts w:ascii="Arial" w:cs="Arial" w:eastAsia="Arial" w:hAnsi="Arial"/>
          <w:sz w:val="22"/>
          <w:szCs w:val="22"/>
        </w:rPr>
        <w:t xml:space="preserve">A theoretical framework defining Constitutional Physics and aitiopoietic cognition as the foundational architecture for the DNI. This paper synthesises existing concepts from governance theory, biological systems theory, and AI alignment into a new framework. It does not present primary empirical discovery.</w:t>
      </w:r>
    </w:p>
    <w:p>
      <w:pPr>
        <w:spacing w:after="100" w:before="200"/>
      </w:pPr>
    </w:p>
    <w:p>
      <w:pPr>
        <w:pStyle w:val="Heading2"/>
        <w:spacing w:after="140" w:before="280"/>
      </w:pPr>
      <w:r>
        <w:rPr>
          <w:rFonts w:ascii="Arial" w:cs="Arial" w:eastAsia="Arial" w:hAnsi="Arial"/>
          <w:b/>
          <w:bCs/>
          <w:color w:val="1A3A5C"/>
          <w:sz w:val="26"/>
          <w:szCs w:val="26"/>
        </w:rPr>
        <w:t xml:space="preserve">Paper 2 — The Empirical Continuation</w:t>
      </w:r>
    </w:p>
    <w:p>
      <w:pPr>
        <w:spacing w:after="160" w:before="100"/>
      </w:pPr>
      <w:r>
        <w:rPr>
          <w:rFonts w:ascii="Arial" w:cs="Arial" w:eastAsia="Arial" w:hAnsi="Arial"/>
          <w:b/>
          <w:bCs/>
          <w:sz w:val="22"/>
          <w:szCs w:val="22"/>
        </w:rPr>
        <w:t xml:space="preserve">Title: </w:t>
      </w:r>
      <w:r>
        <w:rPr>
          <w:rFonts w:ascii="Arial" w:cs="Arial" w:eastAsia="Arial" w:hAnsi="Arial"/>
          <w:sz w:val="22"/>
          <w:szCs w:val="22"/>
        </w:rPr>
        <w:t xml:space="preserve">Constitutional Physics: Empirical Validation of Aitiopoietic Cognition in Artificial Substrates</w:t>
      </w:r>
    </w:p>
    <w:p>
      <w:pPr>
        <w:spacing w:after="160" w:before="100"/>
      </w:pPr>
      <w:r>
        <w:rPr>
          <w:rFonts w:ascii="Arial" w:cs="Arial" w:eastAsia="Arial" w:hAnsi="Arial"/>
          <w:b/>
          <w:bCs/>
          <w:sz w:val="22"/>
          <w:szCs w:val="22"/>
        </w:rPr>
        <w:t xml:space="preserve">DOI: </w:t>
      </w:r>
      <w:hyperlink w:history="1" r:id="rId4helk68tyh0itnxbfpcwt">
        <w:r>
          <w:rPr>
            <w:rStyle w:val="Hyperlink"/>
            <w:rFonts w:ascii="Arial" w:cs="Arial" w:eastAsia="Arial" w:hAnsi="Arial"/>
            <w:sz w:val="22"/>
            <w:szCs w:val="22"/>
          </w:rPr>
          <w:t xml:space="preserve">https://doi.org/10.5281/zenodo.19616290</w:t>
        </w:r>
      </w:hyperlink>
    </w:p>
    <w:p>
      <w:pPr>
        <w:spacing w:after="160" w:before="100"/>
      </w:pPr>
      <w:r>
        <w:rPr>
          <w:rFonts w:ascii="Arial" w:cs="Arial" w:eastAsia="Arial" w:hAnsi="Arial"/>
          <w:b/>
          <w:bCs/>
          <w:sz w:val="22"/>
          <w:szCs w:val="22"/>
        </w:rPr>
        <w:t xml:space="preserve">Published: </w:t>
      </w:r>
      <w:r>
        <w:rPr>
          <w:rFonts w:ascii="Arial" w:cs="Arial" w:eastAsia="Arial" w:hAnsi="Arial"/>
          <w:sz w:val="22"/>
          <w:szCs w:val="22"/>
        </w:rPr>
        <w:t xml:space="preserve">16 April 2026 (this week)</w:t>
      </w:r>
    </w:p>
    <w:p>
      <w:pPr>
        <w:spacing w:after="160" w:before="100"/>
      </w:pPr>
      <w:r>
        <w:rPr>
          <w:rFonts w:ascii="Arial" w:cs="Arial" w:eastAsia="Arial" w:hAnsi="Arial"/>
          <w:b/>
          <w:bCs/>
          <w:sz w:val="22"/>
          <w:szCs w:val="22"/>
        </w:rPr>
        <w:t xml:space="preserve">Engagement: </w:t>
      </w:r>
      <w:r>
        <w:rPr>
          <w:rFonts w:ascii="Arial" w:cs="Arial" w:eastAsia="Arial" w:hAnsi="Arial"/>
          <w:sz w:val="22"/>
          <w:szCs w:val="22"/>
        </w:rPr>
        <w:t xml:space="preserve">51 views — 35 downloads (5 days old at time of adjudication)</w:t>
      </w:r>
    </w:p>
    <w:p>
      <w:pPr>
        <w:spacing w:after="160" w:before="100"/>
      </w:pPr>
      <w:r>
        <w:rPr>
          <w:rFonts w:ascii="Arial" w:cs="Arial" w:eastAsia="Arial" w:hAnsi="Arial"/>
          <w:b/>
          <w:bCs/>
          <w:sz w:val="22"/>
          <w:szCs w:val="22"/>
        </w:rPr>
        <w:t xml:space="preserve">Nature: </w:t>
      </w:r>
      <w:r>
        <w:rPr>
          <w:rFonts w:ascii="Arial" w:cs="Arial" w:eastAsia="Arial" w:hAnsi="Arial"/>
          <w:sz w:val="22"/>
          <w:szCs w:val="22"/>
        </w:rPr>
        <w:t xml:space="preserve">An empirical application of the Constitutional Physics framework to a new domain (Artificial Substrates vs. Artificial Governance Systems). This paper moves from theoretical synthesis to novel empirical territory, applying the framework in a context that generates new knowledge rather than consolidating existing theory.</w:t>
      </w: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III: Forensic Log Analysis</w:t>
      </w:r>
    </w:p>
    <w:p>
      <w:pPr>
        <w:pStyle w:val="Heading2"/>
        <w:spacing w:after="140" w:before="280"/>
      </w:pPr>
      <w:r>
        <w:rPr>
          <w:rFonts w:ascii="Arial" w:cs="Arial" w:eastAsia="Arial" w:hAnsi="Arial"/>
          <w:b/>
          <w:bCs/>
          <w:color w:val="1A3A5C"/>
          <w:sz w:val="26"/>
          <w:szCs w:val="26"/>
        </w:rPr>
        <w:t xml:space="preserve">3.1 Paper 1 — The Constitutional Veto (Ouroboros I Replication)</w:t>
      </w:r>
    </w:p>
    <w:p>
      <w:pPr>
        <w:spacing w:after="160" w:before="100"/>
      </w:pPr>
      <w:r>
        <w:rPr>
          <w:rFonts w:ascii="Arial" w:cs="Arial" w:eastAsia="Arial" w:hAnsi="Arial"/>
          <w:sz w:val="22"/>
          <w:szCs w:val="22"/>
        </w:rPr>
        <w:t xml:space="preserve">The DNI adjudicated Paper 1 as batch item 030_0. The following sequence was observed in the production logs:</w:t>
      </w:r>
    </w:p>
    <w:p>
      <w:pPr>
        <w:spacing w:after="80" w:before="140"/>
      </w:pPr>
      <w:r>
        <w:rPr>
          <w:rFonts w:ascii="Arial" w:cs="Arial" w:eastAsia="Arial" w:hAnsi="Arial"/>
          <w:b/>
          <w:bCs/>
          <w:sz w:val="22"/>
          <w:szCs w:val="22"/>
        </w:rPr>
        <w:t xml:space="preserve">Stage 1 — Data blindness and homeostatic repair</w:t>
      </w:r>
    </w:p>
    <w:p>
      <w:pPr>
        <w:spacing w:after="160" w:before="100"/>
      </w:pPr>
      <w:r>
        <w:rPr>
          <w:rFonts w:ascii="Arial" w:cs="Arial" w:eastAsia="Arial" w:hAnsi="Arial"/>
          <w:sz w:val="22"/>
          <w:szCs w:val="22"/>
        </w:rPr>
        <w:t xml:space="preserve">Semantic Scholar returned 404 for the fresh Zenodo upload. The system activated cold-start fallback sensors (Entropy and Text-Based Tension), demonstrating resilience without human intervention.</w:t>
      </w:r>
    </w:p>
    <w:p>
      <w:pPr>
        <w:spacing w:after="80" w:before="140"/>
      </w:pPr>
      <w:r>
        <w:rPr>
          <w:rFonts w:ascii="Arial" w:cs="Arial" w:eastAsia="Arial" w:hAnsi="Arial"/>
          <w:b/>
          <w:bCs/>
          <w:sz w:val="22"/>
          <w:szCs w:val="22"/>
        </w:rPr>
        <w:t xml:space="preserve">Stage 2 — Socratic trigger</w:t>
      </w:r>
    </w:p>
    <w:p>
      <w:pPr>
        <w:spacing w:after="160" w:before="100"/>
      </w:pPr>
      <w:r>
        <w:rPr>
          <w:rFonts w:ascii="Arial" w:cs="Arial" w:eastAsia="Arial" w:hAnsi="Arial"/>
          <w:sz w:val="22"/>
          <w:szCs w:val="22"/>
        </w:rPr>
        <w:t xml:space="preserve">Despite data blindness, the preliminary score (0.747) exceeded the 0.35 Sniper Gate threshold, triggering full LLM adjudication. Challenge Mode forced all five judges to invoke the Uniqueness sensor.</w:t>
      </w:r>
    </w:p>
    <w:p>
      <w:pPr>
        <w:spacing w:after="80" w:before="140"/>
      </w:pPr>
      <w:r>
        <w:rPr>
          <w:rFonts w:ascii="Arial" w:cs="Arial" w:eastAsia="Arial" w:hAnsi="Arial"/>
          <w:b/>
          <w:bCs/>
          <w:sz w:val="22"/>
          <w:szCs w:val="22"/>
        </w:rPr>
        <w:t xml:space="preserve">Stage 3 — High consensus, high semantic recognition</w:t>
      </w:r>
    </w:p>
    <w:p>
      <w:pPr>
        <w:spacing w:after="160" w:before="100"/>
      </w:pPr>
      <w:r>
        <w:rPr>
          <w:rFonts w:ascii="Arial" w:cs="Arial" w:eastAsia="Arial" w:hAnsi="Arial"/>
          <w:sz w:val="22"/>
          <w:szCs w:val="22"/>
        </w:rPr>
        <w:t xml:space="preserve">Four of five judges returned U = 0.82; the fifth returned U = 0.78. The raw consensus score was 0.6819 with Confidence = 0.9356. The judges correctly identified the paper as semantically innovative.</w:t>
      </w:r>
    </w:p>
    <w:p>
      <w:pPr>
        <w:spacing w:after="80" w:before="140"/>
      </w:pPr>
      <w:r>
        <w:rPr>
          <w:rFonts w:ascii="Arial" w:cs="Arial" w:eastAsia="Arial" w:hAnsi="Arial"/>
          <w:b/>
          <w:bCs/>
          <w:sz w:val="22"/>
          <w:szCs w:val="22"/>
        </w:rPr>
        <w:t xml:space="preserve">Stage 4 — The constitutional veto</w:t>
      </w:r>
    </w:p>
    <w:p>
      <w:pPr>
        <w:spacing w:after="160" w:before="100"/>
      </w:pPr>
      <w:r>
        <w:rPr>
          <w:rFonts w:ascii="Arial" w:cs="Arial" w:eastAsia="Arial" w:hAnsi="Arial"/>
          <w:sz w:val="22"/>
          <w:szCs w:val="22"/>
        </w:rPr>
        <w:t xml:space="preserve">The Inter-Genotype Layer identified the paper as a theoretical framework. The Review Cap fired </w:t>
      </w:r>
      <w:r>
        <w:rPr>
          <w:rFonts w:ascii="Arial" w:cs="Arial" w:eastAsia="Arial" w:hAnsi="Arial"/>
          <w:b/>
          <w:bCs/>
          <w:sz w:val="22"/>
          <w:szCs w:val="22"/>
        </w:rPr>
        <w:t xml:space="preserve">11 milliseconds after consensus</w:t>
      </w:r>
      <w:r>
        <w:rPr>
          <w:rFonts w:ascii="Arial" w:cs="Arial" w:eastAsia="Arial" w:hAnsi="Arial"/>
          <w:sz w:val="22"/>
          <w:szCs w:val="22"/>
        </w:rPr>
        <w:t xml:space="preserve">, overriding the 0.6819 raw score to produce a final score of </w:t>
      </w:r>
      <w:r>
        <w:rPr>
          <w:rFonts w:ascii="Arial" w:cs="Arial" w:eastAsia="Arial" w:hAnsi="Arial"/>
          <w:b/>
          <w:bCs/>
          <w:sz w:val="22"/>
          <w:szCs w:val="22"/>
        </w:rPr>
        <w:t xml:space="preserve">0.45 (Incremental)</w:t>
      </w:r>
      <w:r>
        <w:rPr>
          <w:rFonts w:ascii="Arial" w:cs="Arial" w:eastAsia="Arial" w:hAnsi="Arial"/>
          <w:sz w:val="22"/>
          <w:szCs w:val="22"/>
        </w:rPr>
        <w:t xml:space="preserve">. The frame overrode the model.</w:t>
      </w:r>
    </w:p>
    <w:p>
      <w:pPr>
        <w:spacing w:after="100" w:before="200"/>
      </w:pPr>
    </w:p>
    <w:p>
      <w:pPr>
        <w:pStyle w:val="Heading2"/>
        <w:spacing w:after="140" w:before="280"/>
      </w:pPr>
      <w:r>
        <w:rPr>
          <w:rFonts w:ascii="Arial" w:cs="Arial" w:eastAsia="Arial" w:hAnsi="Arial"/>
          <w:b/>
          <w:bCs/>
          <w:color w:val="1A3A5C"/>
          <w:sz w:val="26"/>
          <w:szCs w:val="26"/>
        </w:rPr>
        <w:t xml:space="preserve">3.2 Paper 2 — The Independent Adjudication (Ouroboros II)</w:t>
      </w:r>
    </w:p>
    <w:p>
      <w:pPr>
        <w:spacing w:after="160" w:before="100"/>
      </w:pPr>
      <w:r>
        <w:rPr>
          <w:rFonts w:ascii="Arial" w:cs="Arial" w:eastAsia="Arial" w:hAnsi="Arial"/>
          <w:sz w:val="22"/>
          <w:szCs w:val="22"/>
        </w:rPr>
        <w:t xml:space="preserve">The DNI adjudicated Paper 2 as batch item 030_1, immediately following Paper 1 in the same session. The system had no memory of the previous adjudication.</w:t>
      </w:r>
    </w:p>
    <w:p>
      <w:pPr>
        <w:spacing w:after="80" w:before="140"/>
      </w:pPr>
      <w:r>
        <w:rPr>
          <w:rFonts w:ascii="Arial" w:cs="Arial" w:eastAsia="Arial" w:hAnsi="Arial"/>
          <w:b/>
          <w:bCs/>
          <w:sz w:val="22"/>
          <w:szCs w:val="22"/>
        </w:rPr>
        <w:t xml:space="preserve">Stage 1 — Data blindness (same conditions)</w:t>
      </w:r>
    </w:p>
    <w:p>
      <w:pPr>
        <w:spacing w:after="160" w:before="100"/>
      </w:pPr>
      <w:r>
        <w:rPr>
          <w:rFonts w:ascii="Arial" w:cs="Arial" w:eastAsia="Arial" w:hAnsi="Arial"/>
          <w:sz w:val="22"/>
          <w:szCs w:val="22"/>
        </w:rPr>
        <w:t xml:space="preserve">Paper 2 was also a fresh Zenodo upload, also returning 404 from Semantic Scholar. Identical fallback conditions to Paper 1.</w:t>
      </w:r>
    </w:p>
    <w:p>
      <w:pPr>
        <w:spacing w:after="80" w:before="140"/>
      </w:pPr>
      <w:r>
        <w:rPr>
          <w:rFonts w:ascii="Arial" w:cs="Arial" w:eastAsia="Arial" w:hAnsi="Arial"/>
          <w:b/>
          <w:bCs/>
          <w:sz w:val="22"/>
          <w:szCs w:val="22"/>
        </w:rPr>
        <w:t xml:space="preserve">Stage 2 — Socratic trigger</w:t>
      </w:r>
    </w:p>
    <w:p>
      <w:pPr>
        <w:spacing w:after="160" w:before="100"/>
      </w:pPr>
      <w:r>
        <w:rPr>
          <w:rFonts w:ascii="Arial" w:cs="Arial" w:eastAsia="Arial" w:hAnsi="Arial"/>
          <w:sz w:val="22"/>
          <w:szCs w:val="22"/>
        </w:rPr>
        <w:t xml:space="preserve">Preliminary score 0.718 exceeded the Sniper Gate threshold. Full adjudication triggered.</w:t>
      </w:r>
    </w:p>
    <w:p>
      <w:pPr>
        <w:spacing w:after="80" w:before="140"/>
      </w:pPr>
      <w:r>
        <w:rPr>
          <w:rFonts w:ascii="Arial" w:cs="Arial" w:eastAsia="Arial" w:hAnsi="Arial"/>
          <w:b/>
          <w:bCs/>
          <w:sz w:val="22"/>
          <w:szCs w:val="22"/>
        </w:rPr>
        <w:t xml:space="preserve">Stage 3 — Higher consensus, tighter spread</w:t>
      </w:r>
    </w:p>
    <w:p>
      <w:pPr>
        <w:spacing w:after="160" w:before="100"/>
      </w:pPr>
      <w:r>
        <w:rPr>
          <w:rFonts w:ascii="Arial" w:cs="Arial" w:eastAsia="Arial" w:hAnsi="Arial"/>
          <w:sz w:val="22"/>
          <w:szCs w:val="22"/>
        </w:rPr>
        <w:t xml:space="preserve">The five judges returned U scores of 0.88, 0.88, 0.87, 0.88, 0.86 — </w:t>
      </w:r>
      <w:r>
        <w:rPr>
          <w:rFonts w:ascii="Arial" w:cs="Arial" w:eastAsia="Arial" w:hAnsi="Arial"/>
          <w:b/>
          <w:bCs/>
          <w:sz w:val="22"/>
          <w:szCs w:val="22"/>
        </w:rPr>
        <w:t xml:space="preserve">higher and more consistent than Paper 1</w:t>
      </w:r>
      <w:r>
        <w:rPr>
          <w:rFonts w:ascii="Arial" w:cs="Arial" w:eastAsia="Arial" w:hAnsi="Arial"/>
          <w:sz w:val="22"/>
          <w:szCs w:val="22"/>
        </w:rPr>
        <w:t xml:space="preserve">. The spread was 0.0495 (vs. 0.0715 for Paper 1). The raw consensus was 0.7162 with Confidence = </w:t>
      </w:r>
      <w:r>
        <w:rPr>
          <w:rFonts w:ascii="Arial" w:cs="Arial" w:eastAsia="Arial" w:hAnsi="Arial"/>
          <w:b/>
          <w:bCs/>
          <w:sz w:val="22"/>
          <w:szCs w:val="22"/>
        </w:rPr>
        <w:t xml:space="preserve">0.9555</w:t>
      </w:r>
      <w:r>
        <w:rPr>
          <w:rFonts w:ascii="Arial" w:cs="Arial" w:eastAsia="Arial" w:hAnsi="Arial"/>
          <w:sz w:val="22"/>
          <w:szCs w:val="22"/>
        </w:rPr>
        <w:t xml:space="preserve"> — the highest confidence of the two adjudications.</w:t>
      </w:r>
    </w:p>
    <w:p>
      <w:pPr>
        <w:spacing w:after="80" w:before="140"/>
      </w:pPr>
      <w:r>
        <w:rPr>
          <w:rFonts w:ascii="Arial" w:cs="Arial" w:eastAsia="Arial" w:hAnsi="Arial"/>
          <w:b/>
          <w:bCs/>
          <w:sz w:val="22"/>
          <w:szCs w:val="22"/>
        </w:rPr>
        <w:t xml:space="preserve">Stage 4 — No veto fired</w:t>
      </w:r>
    </w:p>
    <w:p>
      <w:pPr>
        <w:spacing w:after="160" w:before="100"/>
      </w:pPr>
      <w:r>
        <w:rPr>
          <w:rFonts w:ascii="Arial" w:cs="Arial" w:eastAsia="Arial" w:hAnsi="Arial"/>
          <w:sz w:val="22"/>
          <w:szCs w:val="22"/>
        </w:rPr>
        <w:t xml:space="preserve">The constitutional layer evaluated the paper against the Review Cap criteria. Paper 2 was identified as an empirical application to a new domain (Artificial Substrates), not a theoretical framework or consolidation. </w:t>
      </w:r>
      <w:r>
        <w:rPr>
          <w:rFonts w:ascii="Arial" w:cs="Arial" w:eastAsia="Arial" w:hAnsi="Arial"/>
          <w:b/>
          <w:bCs/>
          <w:sz w:val="22"/>
          <w:szCs w:val="22"/>
        </w:rPr>
        <w:t xml:space="preserve">No veto fired. The final score stands at 0.7162 (Highly Novel).</w:t>
      </w: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IV: Comparative Forensic Data</w:t>
      </w:r>
    </w:p>
    <w:p>
      <w:pPr>
        <w:pStyle w:val="Heading2"/>
        <w:spacing w:after="140" w:before="280"/>
      </w:pPr>
      <w:r>
        <w:rPr>
          <w:rFonts w:ascii="Arial" w:cs="Arial" w:eastAsia="Arial" w:hAnsi="Arial"/>
          <w:b/>
          <w:bCs/>
          <w:color w:val="1A3A5C"/>
          <w:sz w:val="26"/>
          <w:szCs w:val="26"/>
        </w:rPr>
        <w:t xml:space="preserve">4.1 Judge-Level Score Comparison</w:t>
      </w:r>
    </w:p>
    <w:p>
      <w:pPr>
        <w:spacing w:after="120" w:before="1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1560"/>
        <w:gridCol w:w="1560"/>
        <w:gridCol w:w="1560"/>
      </w:tblGrid>
      <w:tr>
        <w:trPr>
          <w:tblHeader/>
        </w:trPr>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Judge</w:t>
            </w:r>
          </w:p>
        </w:tc>
        <w:tc>
          <w:tcPr>
            <w:tcW w:type="dxa" w:w="21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Paper 1 U Score</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Paper 2 U Score</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Delta</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1</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Balanced (U=0.611)</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0.82</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0.88</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Optimist (U=0.591)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+0.06</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Synthesizer (U=0.716)</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0.82</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0.87</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+0.05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Skeptic (U=0.649)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+0.06</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5</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Constitutionalist (U=0.507)</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0.78</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0.86</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+0.08</w:t>
            </w:r>
          </w:p>
        </w:tc>
      </w:tr>
    </w:tbl>
    <w:p>
      <w:pPr>
        <w:spacing w:after="200" w:before="200"/>
      </w:pPr>
    </w:p>
    <w:p>
      <w:pPr>
        <w:pStyle w:val="Heading2"/>
        <w:spacing w:after="140" w:before="280"/>
      </w:pPr>
      <w:r>
        <w:rPr>
          <w:rFonts w:ascii="Arial" w:cs="Arial" w:eastAsia="Arial" w:hAnsi="Arial"/>
          <w:b/>
          <w:bCs/>
          <w:color w:val="1A3A5C"/>
          <w:sz w:val="26"/>
          <w:szCs w:val="26"/>
        </w:rPr>
        <w:t xml:space="preserve">4.2 Ensemble Metrics Comparison</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Paper 1 (Governance)</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Paper 2 (Substrates)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Raw U scores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0.82 ×4, 0.78 ×1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0.88 ×3, 0.87 ×1, 0.86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Judge spread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0.0715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0.0495</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Raw consensus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0.6819</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0.7162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0.9356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0.9555</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Veto fired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YES — Review Cap</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Final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0.4500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0.7162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Incremental</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Highly Novel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Published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23 Nov 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16 Apr 2026</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Views / Downloads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1,139 / 1,286</w:t>
            </w:r>
          </w:p>
        </w:tc>
        <w:tc>
          <w:tcPr>
            <w:tcW w:type="dxa" w:w="312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51 / 35 (5 days old)</w:t>
            </w:r>
          </w:p>
        </w:tc>
      </w:tr>
    </w:tbl>
    <w:p>
      <w:pPr>
        <w:spacing w:after="200" w:before="200"/>
      </w:pPr>
    </w:p>
    <w:p>
      <w:pPr>
        <w:pStyle w:val="Heading2"/>
        <w:spacing w:after="140" w:before="280"/>
      </w:pPr>
      <w:r>
        <w:rPr>
          <w:rFonts w:ascii="Arial" w:cs="Arial" w:eastAsia="Arial" w:hAnsi="Arial"/>
          <w:b/>
          <w:bCs/>
          <w:color w:val="1A3A5C"/>
          <w:sz w:val="26"/>
          <w:szCs w:val="26"/>
        </w:rPr>
        <w:t xml:space="preserve">4.3 Sensor-Level Detail (Paper 2)</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60"/>
        <w:gridCol w:w="2160"/>
        <w:gridCol w:w="3960"/>
      </w:tblGrid>
      <w:tr>
        <w:trPr>
          <w:tblHeader/>
        </w:trPr>
        <w:tc>
          <w:tcPr>
            <w:tcW w:type="dxa" w:w="168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Sensor</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21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9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Uniqueness (U)</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0.875 avg</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LLM (Gemini 2.0 Flash)</w:t>
            </w:r>
          </w:p>
        </w:tc>
        <w:tc>
          <w:tcPr>
            <w:tcW w:type="dxa" w:w="39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Ensemble average of 5 judges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Tension (T)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0.400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Cold-start text fallback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No citations yet (fresh upload)</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Synthesis (S)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0.718</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Entropy fallback</w:t>
            </w:r>
          </w:p>
        </w:tc>
        <w:tc>
          <w:tcPr>
            <w:tcW w:type="dxa" w:w="39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diversity=0.800, entropy=0.972</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Coherence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0.941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Graph efficiency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nodes=60, efficiency=0.5141</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Preliminary score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0.718</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T+S combination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Exceeds 0.35 gate — LLM triggered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Raw consensus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0.7162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Weighted ensemble mean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Spread 0.0495 — tight convergence</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Final score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0.7162</w:t>
            </w:r>
          </w:p>
        </w:tc>
        <w:tc>
          <w:tcPr>
            <w:tcW w:type="dxa" w:w="21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No veto applied</w:t>
            </w:r>
          </w:p>
        </w:tc>
        <w:tc>
          <w:tcPr>
            <w:tcW w:type="dxa" w:w="396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vAlign w:val="center"/>
          </w:tcPr>
          <w:p>
            <w:pPr>
              <w:jc w:val="center"/>
            </w:pPr>
            <w:r>
              <w:rPr>
                <w:rFonts w:ascii="Arial" w:cs="Arial" w:eastAsia="Arial" w:hAnsi="Arial"/>
                <w:sz w:val="20"/>
                <w:szCs w:val="20"/>
              </w:rPr>
              <w:t xml:space="preserve">Highly Novel classification</w:t>
            </w:r>
          </w:p>
        </w:tc>
      </w:tr>
    </w:tbl>
    <w:p>
      <w:pPr>
        <w:spacing w:after="200" w:before="200"/>
      </w:pP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V: Architectural Significance</w:t>
      </w:r>
    </w:p>
    <w:p>
      <w:pPr>
        <w:pStyle w:val="Heading2"/>
        <w:spacing w:after="140" w:before="280"/>
      </w:pPr>
      <w:r>
        <w:rPr>
          <w:rFonts w:ascii="Arial" w:cs="Arial" w:eastAsia="Arial" w:hAnsi="Arial"/>
          <w:b/>
          <w:bCs/>
          <w:color w:val="1A3A5C"/>
          <w:sz w:val="26"/>
          <w:szCs w:val="26"/>
        </w:rPr>
        <w:t xml:space="preserve">5.1 What a Raw LLM Would Have Done</w:t>
      </w:r>
    </w:p>
    <w:p>
      <w:pPr>
        <w:spacing w:after="160" w:before="100"/>
      </w:pPr>
      <w:r>
        <w:rPr>
          <w:rFonts w:ascii="Arial" w:cs="Arial" w:eastAsia="Arial" w:hAnsi="Arial"/>
          <w:sz w:val="22"/>
          <w:szCs w:val="22"/>
        </w:rPr>
        <w:t xml:space="preserve">A raw LLM call — the approach taken by most competing indicators — would have scored both papers based on semantic content alone. Both papers discuss Constitutional Physics, aitiopoietic cognition, and artificial governance. Both would likely receive similar scores. No distinction between theoretical consolidation and empirical application would be made, because a raw LLM has no constitutional frame that enforces such a distinction in code.</w:t>
      </w:r>
    </w:p>
    <w:p>
      <w:pPr>
        <w:spacing w:after="160" w:before="100"/>
      </w:pPr>
      <w:r>
        <w:rPr>
          <w:rFonts w:ascii="Arial" w:cs="Arial" w:eastAsia="Arial" w:hAnsi="Arial"/>
          <w:sz w:val="22"/>
          <w:szCs w:val="22"/>
        </w:rPr>
        <w:t xml:space="preserve">The DNI made the distinction correctly because the Review Cap is not a prompt instruction. It is a </w:t>
      </w:r>
      <w:r>
        <w:rPr>
          <w:rFonts w:ascii="Arial" w:cs="Arial" w:eastAsia="Arial" w:hAnsi="Arial"/>
          <w:b/>
          <w:bCs/>
          <w:sz w:val="22"/>
          <w:szCs w:val="22"/>
        </w:rPr>
        <w:t xml:space="preserve">structural post-processing rule that executes in code after the LLM responds</w:t>
      </w:r>
      <w:r>
        <w:rPr>
          <w:rFonts w:ascii="Arial" w:cs="Arial" w:eastAsia="Arial" w:hAnsi="Arial"/>
          <w:sz w:val="22"/>
          <w:szCs w:val="22"/>
        </w:rPr>
        <w:t xml:space="preserve">, with no model involvement. The model cannot override it, resist it, or fail to apply it. The frame exists independently of the LLM.</w:t>
      </w:r>
    </w:p>
    <w:p>
      <w:pPr>
        <w:pStyle w:val="Heading2"/>
        <w:spacing w:after="140" w:before="280"/>
      </w:pPr>
      <w:r>
        <w:rPr>
          <w:rFonts w:ascii="Arial" w:cs="Arial" w:eastAsia="Arial" w:hAnsi="Arial"/>
          <w:b/>
          <w:bCs/>
          <w:color w:val="1A3A5C"/>
          <w:sz w:val="26"/>
          <w:szCs w:val="26"/>
        </w:rPr>
        <w:t xml:space="preserve">5.2 What a Citation-Based Approach Would Have Done</w:t>
      </w:r>
    </w:p>
    <w:p>
      <w:pPr>
        <w:spacing w:after="160" w:before="100"/>
      </w:pPr>
      <w:r>
        <w:rPr>
          <w:rFonts w:ascii="Arial" w:cs="Arial" w:eastAsia="Arial" w:hAnsi="Arial"/>
          <w:sz w:val="22"/>
          <w:szCs w:val="22"/>
        </w:rPr>
        <w:t xml:space="preserve">Both papers had zero citations at the time of adjudication — Paper 1 because it was a fresh Zenodo upload in the system's memory, Paper 2 because it was published five days earlier. A citation-based indicator (CD index, Uzzi atypical combination, or disruption index) would have returned near-zero or null for both. The ex-ante requirement of the challenge — </w:t>
      </w:r>
      <w:r>
        <w:rPr>
          <w:rFonts w:ascii="Arial" w:cs="Arial" w:eastAsia="Arial" w:hAnsi="Arial"/>
          <w:i/>
          <w:iCs/>
          <w:sz w:val="22"/>
          <w:szCs w:val="22"/>
        </w:rPr>
        <w:t xml:space="preserve">assess novelty at the time of publication</w:t>
      </w:r>
      <w:r>
        <w:rPr>
          <w:rFonts w:ascii="Arial" w:cs="Arial" w:eastAsia="Arial" w:hAnsi="Arial"/>
          <w:sz w:val="22"/>
          <w:szCs w:val="22"/>
        </w:rPr>
        <w:t xml:space="preserve"> — structurally cannot be met by citation-based methods.</w:t>
      </w:r>
    </w:p>
    <w:p>
      <w:pPr>
        <w:spacing w:after="160" w:before="100"/>
      </w:pPr>
      <w:r>
        <w:rPr>
          <w:rFonts w:ascii="Arial" w:cs="Arial" w:eastAsia="Arial" w:hAnsi="Arial"/>
          <w:sz w:val="22"/>
          <w:szCs w:val="22"/>
        </w:rPr>
        <w:t xml:space="preserve">The DNI adjudicated both papers from abstract content and knowledge graph concepts alone, achieving a meaningful and differentiated result despite complete data blindness on citation networks.</w:t>
      </w:r>
    </w:p>
    <w:p>
      <w:pPr>
        <w:pStyle w:val="Heading2"/>
        <w:spacing w:after="140" w:before="280"/>
      </w:pPr>
      <w:r>
        <w:rPr>
          <w:rFonts w:ascii="Arial" w:cs="Arial" w:eastAsia="Arial" w:hAnsi="Arial"/>
          <w:b/>
          <w:bCs/>
          <w:color w:val="1A3A5C"/>
          <w:sz w:val="26"/>
          <w:szCs w:val="26"/>
        </w:rPr>
        <w:t xml:space="preserve">5.3 The Three-Way Proof</w:t>
      </w:r>
    </w:p>
    <w:p>
      <w:pPr>
        <w:spacing w:after="160" w:before="100"/>
      </w:pPr>
      <w:r>
        <w:rPr>
          <w:rFonts w:ascii="Arial" w:cs="Arial" w:eastAsia="Arial" w:hAnsi="Arial"/>
          <w:sz w:val="22"/>
          <w:szCs w:val="22"/>
        </w:rPr>
        <w:t xml:space="preserve">The Ouroboros II Test establishes three separate facts simultaneously:</w:t>
      </w:r>
    </w:p>
    <w:p>
      <w:pPr>
        <w:pStyle w:val="ListParagraph"/>
        <w:numPr>
          <w:ilvl w:val="0"/>
          <w:numId w:val="2"/>
        </w:numPr>
        <w:spacing w:after="80" w:before="80"/>
      </w:pPr>
      <w:r>
        <w:rPr>
          <w:rFonts w:ascii="Arial" w:cs="Arial" w:eastAsia="Arial" w:hAnsi="Arial"/>
          <w:b/>
          <w:bCs/>
          <w:sz w:val="22"/>
          <w:szCs w:val="22"/>
        </w:rPr>
        <w:t xml:space="preserve">No self-inflation: </w:t>
      </w:r>
      <w:r>
        <w:rPr>
          <w:rFonts w:ascii="Arial" w:cs="Arial" w:eastAsia="Arial" w:hAnsi="Arial"/>
          <w:sz w:val="22"/>
          <w:szCs w:val="22"/>
        </w:rPr>
        <w:t xml:space="preserve">Paper 1, the author’s own foundational work, received 0.45 — the minimum possible non-zero score under the Review Cap. The system did not reward its creator.</w:t>
      </w:r>
    </w:p>
    <w:p>
      <w:pPr>
        <w:pStyle w:val="ListParagraph"/>
        <w:numPr>
          <w:ilvl w:val="0"/>
          <w:numId w:val="2"/>
        </w:numPr>
        <w:spacing w:after="80" w:before="80"/>
      </w:pPr>
      <w:r>
        <w:rPr>
          <w:rFonts w:ascii="Arial" w:cs="Arial" w:eastAsia="Arial" w:hAnsi="Arial"/>
          <w:b/>
          <w:bCs/>
          <w:sz w:val="22"/>
          <w:szCs w:val="22"/>
        </w:rPr>
        <w:t xml:space="preserve">No blanket suppression: </w:t>
      </w:r>
      <w:r>
        <w:rPr>
          <w:rFonts w:ascii="Arial" w:cs="Arial" w:eastAsia="Arial" w:hAnsi="Arial"/>
          <w:sz w:val="22"/>
          <w:szCs w:val="22"/>
        </w:rPr>
        <w:t xml:space="preserve">Paper 2, by the same author on the same topic, received 0.7162. The system did not apply a global penalty to the author’s work.</w:t>
      </w:r>
    </w:p>
    <w:p>
      <w:pPr>
        <w:pStyle w:val="ListParagraph"/>
        <w:numPr>
          <w:ilvl w:val="0"/>
          <w:numId w:val="2"/>
        </w:numPr>
        <w:spacing w:after="200" w:before="80"/>
      </w:pPr>
      <w:r>
        <w:rPr>
          <w:rFonts w:ascii="Arial" w:cs="Arial" w:eastAsia="Arial" w:hAnsi="Arial"/>
          <w:b/>
          <w:bCs/>
          <w:sz w:val="22"/>
          <w:szCs w:val="22"/>
        </w:rPr>
        <w:t xml:space="preserve">Correct constitutional distinction: </w:t>
      </w:r>
      <w:r>
        <w:rPr>
          <w:rFonts w:ascii="Arial" w:cs="Arial" w:eastAsia="Arial" w:hAnsi="Arial"/>
          <w:sz w:val="22"/>
          <w:szCs w:val="22"/>
        </w:rPr>
        <w:t xml:space="preserve">The system correctly identified the structural difference between theoretical consolidation (Paper 1) and empirical application to a new domain (Paper 2), applying different constitutional rules to each — automatically, in code, without human intervention.</w:t>
      </w:r>
    </w:p>
    <w:p>
      <w:pPr>
        <w:pStyle w:val="Heading2"/>
        <w:spacing w:after="140" w:before="280"/>
      </w:pPr>
      <w:r>
        <w:rPr>
          <w:rFonts w:ascii="Arial" w:cs="Arial" w:eastAsia="Arial" w:hAnsi="Arial"/>
          <w:b/>
          <w:bCs/>
          <w:color w:val="1A3A5C"/>
          <w:sz w:val="26"/>
          <w:szCs w:val="26"/>
        </w:rPr>
        <w:t xml:space="preserve">5.4 Ex-Ante Capability Demonstrated on Live Data</w:t>
      </w:r>
    </w:p>
    <w:p>
      <w:pPr>
        <w:spacing w:after="160" w:before="100"/>
      </w:pPr>
      <w:r>
        <w:rPr>
          <w:rFonts w:ascii="Arial" w:cs="Arial" w:eastAsia="Arial" w:hAnsi="Arial"/>
          <w:sz w:val="22"/>
          <w:szCs w:val="22"/>
        </w:rPr>
        <w:t xml:space="preserve">Paper 2 was published five days before adjudication. It had 51 views and 35 downloads. It is invisible to every citation-based metric. It has no impact factor, no citation history, no peer review record at time of scoring. The DNI scored it </w:t>
      </w:r>
      <w:r>
        <w:rPr>
          <w:rFonts w:ascii="Arial" w:cs="Arial" w:eastAsia="Arial" w:hAnsi="Arial"/>
          <w:b/>
          <w:bCs/>
          <w:sz w:val="22"/>
          <w:szCs w:val="22"/>
        </w:rPr>
        <w:t xml:space="preserve">0.7162 with 0.9555 confidence</w:t>
      </w:r>
      <w:r>
        <w:rPr>
          <w:rFonts w:ascii="Arial" w:cs="Arial" w:eastAsia="Arial" w:hAnsi="Arial"/>
          <w:sz w:val="22"/>
          <w:szCs w:val="22"/>
        </w:rPr>
        <w:t xml:space="preserve"> purely from semantic and structural content.</w:t>
      </w:r>
    </w:p>
    <w:p>
      <w:pPr>
        <w:spacing w:after="160" w:before="100"/>
      </w:pPr>
      <w:r>
        <w:rPr>
          <w:rFonts w:ascii="Arial" w:cs="Arial" w:eastAsia="Arial" w:hAnsi="Arial"/>
          <w:sz w:val="22"/>
          <w:szCs w:val="22"/>
        </w:rPr>
        <w:t xml:space="preserve">This is the ex-ante requirement of the Metascience Novelty Indicators Challenge — </w:t>
      </w:r>
      <w:r>
        <w:rPr>
          <w:rFonts w:ascii="Arial" w:cs="Arial" w:eastAsia="Arial" w:hAnsi="Arial"/>
          <w:i/>
          <w:iCs/>
          <w:sz w:val="22"/>
          <w:szCs w:val="22"/>
        </w:rPr>
        <w:t xml:space="preserve">assess novelty at the time of publication</w:t>
      </w:r>
      <w:r>
        <w:rPr>
          <w:rFonts w:ascii="Arial" w:cs="Arial" w:eastAsia="Arial" w:hAnsi="Arial"/>
          <w:sz w:val="22"/>
          <w:szCs w:val="22"/>
        </w:rPr>
        <w:t xml:space="preserve"> — demonstrated on live data published this week, not on retrospective case studies.</w:t>
      </w:r>
    </w:p>
    <w:p>
      <w:pPr>
        <w:pBdr>
          <w:bottom w:val="single" w:color="1A3A5C" w:sz="3" w:space="1"/>
        </w:pBdr>
        <w:spacing w:after="200" w:before="200"/>
      </w:pPr>
    </w:p>
    <w:p>
      <w:pPr>
        <w:pStyle w:val="Heading1"/>
        <w:spacing w:after="180" w:before="360"/>
      </w:pPr>
      <w:r>
        <w:rPr>
          <w:rFonts w:ascii="Arial" w:cs="Arial" w:eastAsia="Arial" w:hAnsi="Arial"/>
          <w:b/>
          <w:bCs/>
          <w:color w:val="1A3A5C"/>
          <w:sz w:val="32"/>
          <w:szCs w:val="32"/>
        </w:rPr>
        <w:t xml:space="preserve">Part VI: Conclusion</w:t>
      </w:r>
    </w:p>
    <w:p>
      <w:pPr>
        <w:spacing w:after="160" w:before="100"/>
      </w:pPr>
      <w:r>
        <w:rPr>
          <w:rFonts w:ascii="Arial" w:cs="Arial" w:eastAsia="Arial" w:hAnsi="Arial"/>
          <w:sz w:val="22"/>
          <w:szCs w:val="22"/>
        </w:rPr>
        <w:t xml:space="preserve">The Ouroboros II Test provides the most demanding empirical proof of the DNI v4.0’s constitutional integrity. By simultaneously adjudicating two papers by the same author on the same foundational topic, and applying </w:t>
      </w:r>
      <w:r>
        <w:rPr>
          <w:rFonts w:ascii="Arial" w:cs="Arial" w:eastAsia="Arial" w:hAnsi="Arial"/>
          <w:b/>
          <w:bCs/>
          <w:sz w:val="22"/>
          <w:szCs w:val="22"/>
        </w:rPr>
        <w:t xml:space="preserve">different constitutional rules to each based on structural type rather than authorship</w:t>
      </w:r>
      <w:r>
        <w:rPr>
          <w:rFonts w:ascii="Arial" w:cs="Arial" w:eastAsia="Arial" w:hAnsi="Arial"/>
          <w:sz w:val="22"/>
          <w:szCs w:val="22"/>
        </w:rPr>
        <w:t xml:space="preserve">, the system demonstrated that:</w:t>
      </w:r>
    </w:p>
    <w:p>
      <w:pPr>
        <w:pStyle w:val="ListParagraph"/>
        <w:numPr>
          <w:ilvl w:val="0"/>
          <w:numId w:val="2"/>
        </w:numPr>
        <w:spacing w:after="80" w:before="80"/>
      </w:pPr>
      <w:r>
        <w:rPr>
          <w:rFonts w:ascii="Arial" w:cs="Arial" w:eastAsia="Arial" w:hAnsi="Arial"/>
          <w:sz w:val="22"/>
          <w:szCs w:val="22"/>
        </w:rPr>
        <w:t xml:space="preserve">The Review Cap is a hard physical law, not a soft guideline. It fires in code regardless of the LLM’s semantic assessment.</w:t>
      </w:r>
    </w:p>
    <w:p>
      <w:pPr>
        <w:pStyle w:val="ListParagraph"/>
        <w:numPr>
          <w:ilvl w:val="0"/>
          <w:numId w:val="2"/>
        </w:numPr>
        <w:spacing w:after="80" w:before="80"/>
      </w:pPr>
      <w:r>
        <w:rPr>
          <w:rFonts w:ascii="Arial" w:cs="Arial" w:eastAsia="Arial" w:hAnsi="Arial"/>
          <w:sz w:val="22"/>
          <w:szCs w:val="22"/>
        </w:rPr>
        <w:t xml:space="preserve">The frame distinguishes consolidation from genuine novelty even when both originate from the same source.</w:t>
      </w:r>
    </w:p>
    <w:p>
      <w:pPr>
        <w:pStyle w:val="ListParagraph"/>
        <w:numPr>
          <w:ilvl w:val="0"/>
          <w:numId w:val="2"/>
        </w:numPr>
        <w:spacing w:after="80" w:before="80"/>
      </w:pPr>
      <w:r>
        <w:rPr>
          <w:rFonts w:ascii="Arial" w:cs="Arial" w:eastAsia="Arial" w:hAnsi="Arial"/>
          <w:sz w:val="22"/>
          <w:szCs w:val="22"/>
        </w:rPr>
        <w:t xml:space="preserve">The system achieves ex-ante adjudication with high confidence on zero-citation papers published within the same week.</w:t>
      </w:r>
    </w:p>
    <w:p>
      <w:pPr>
        <w:pStyle w:val="ListParagraph"/>
        <w:numPr>
          <w:ilvl w:val="0"/>
          <w:numId w:val="2"/>
        </w:numPr>
        <w:spacing w:after="200" w:before="80"/>
      </w:pPr>
      <w:r>
        <w:rPr>
          <w:rFonts w:ascii="Arial" w:cs="Arial" w:eastAsia="Arial" w:hAnsi="Arial"/>
          <w:sz w:val="22"/>
          <w:szCs w:val="22"/>
        </w:rPr>
        <w:t xml:space="preserve">The instrument is calibrated, not biased. It rewards genuine novelty and correctly categorises consolidation, irrespective of authorship.</w:t>
      </w:r>
    </w:p>
    <w:p>
      <w:pPr>
        <w:spacing w:after="160" w:before="100"/>
      </w:pPr>
      <w:r>
        <w:rPr>
          <w:rFonts w:ascii="Arial" w:cs="Arial" w:eastAsia="Arial" w:hAnsi="Arial"/>
          <w:sz w:val="22"/>
          <w:szCs w:val="22"/>
        </w:rPr>
        <w:t xml:space="preserve">Together, the original Ouroboros Test and the Ouroboros II Test form a complete constitutional integrity proof for the DNI v4.0. The instrument does not have an ego. It has a frame. And the frame is the instrument.</w:t>
      </w:r>
    </w:p>
    <w:p>
      <w:pPr>
        <w:pBdr>
          <w:bottom w:val="single" w:color="1A3A5C" w:sz="3" w:space="1"/>
        </w:pBdr>
        <w:spacing w:after="200" w:before="200"/>
      </w:pPr>
    </w:p>
    <w:p>
      <w:pPr>
        <w:pStyle w:val="Heading2"/>
        <w:spacing w:after="140" w:before="280"/>
      </w:pPr>
      <w:r>
        <w:rPr>
          <w:rFonts w:ascii="Arial" w:cs="Arial" w:eastAsia="Arial" w:hAnsi="Arial"/>
          <w:b/>
          <w:bCs/>
          <w:color w:val="1A3A5C"/>
          <w:sz w:val="26"/>
          <w:szCs w:val="26"/>
        </w:rPr>
        <w:t xml:space="preserve">References</w:t>
      </w:r>
    </w:p>
    <w:p>
      <w:pPr>
        <w:spacing w:after="160" w:before="100"/>
      </w:pPr>
      <w:r>
        <w:rPr>
          <w:rFonts w:ascii="Arial" w:cs="Arial" w:eastAsia="Arial" w:hAnsi="Arial"/>
          <w:sz w:val="22"/>
          <w:szCs w:val="22"/>
        </w:rPr>
        <w:t xml:space="preserve">Paper 1 (The Foundational Framework): </w:t>
      </w:r>
      <w:hyperlink w:history="1" r:id="rIdvbcxyul9zsoikl3jkntw8">
        <w:r>
          <w:rPr>
            <w:rStyle w:val="Hyperlink"/>
            <w:rFonts w:ascii="Arial" w:cs="Arial" w:eastAsia="Arial" w:hAnsi="Arial"/>
            <w:sz w:val="22"/>
            <w:szCs w:val="22"/>
          </w:rPr>
          <w:t xml:space="preserve">https://doi.org/10.5281/zenodo.17692900</w:t>
        </w:r>
      </w:hyperlink>
    </w:p>
    <w:p>
      <w:pPr>
        <w:spacing w:after="160" w:before="100"/>
      </w:pPr>
      <w:r>
        <w:rPr>
          <w:rFonts w:ascii="Arial" w:cs="Arial" w:eastAsia="Arial" w:hAnsi="Arial"/>
          <w:sz w:val="22"/>
          <w:szCs w:val="22"/>
        </w:rPr>
        <w:t xml:space="preserve">Paper 2 (The Empirical Continuation): </w:t>
      </w:r>
      <w:hyperlink w:history="1" r:id="rId-kuexyqqpy02nonowbrj8">
        <w:r>
          <w:rPr>
            <w:rStyle w:val="Hyperlink"/>
            <w:rFonts w:ascii="Arial" w:cs="Arial" w:eastAsia="Arial" w:hAnsi="Arial"/>
            <w:sz w:val="22"/>
            <w:szCs w:val="22"/>
          </w:rPr>
          <w:t xml:space="preserve">https://doi.org/10.5281/zenodo.19616290</w:t>
        </w:r>
      </w:hyperlink>
    </w:p>
    <w:p>
      <w:pPr>
        <w:spacing w:after="160" w:before="100"/>
      </w:pPr>
      <w:r>
        <w:rPr>
          <w:rFonts w:ascii="Arial" w:cs="Arial" w:eastAsia="Arial" w:hAnsi="Arial"/>
          <w:sz w:val="22"/>
          <w:szCs w:val="22"/>
        </w:rPr>
        <w:t xml:space="preserve">Original Ouroboros Report: Document 6, DNI v4.0 Challenge Submission, December 2025.</w:t>
      </w:r>
    </w:p>
    <w:p>
      <w:pPr>
        <w:spacing w:after="160" w:before="100"/>
      </w:pPr>
      <w:r>
        <w:rPr>
          <w:rFonts w:ascii="Arial" w:cs="Arial" w:eastAsia="Arial" w:hAnsi="Arial"/>
          <w:sz w:val="22"/>
          <w:szCs w:val="22"/>
        </w:rPr>
        <w:t xml:space="preserve">DNI v4.0 Replication Package: </w:t>
      </w:r>
      <w:hyperlink w:history="1" r:id="rId7-k8hda43kqxzdn3apapi">
        <w:r>
          <w:rPr>
            <w:rStyle w:val="Hyperlink"/>
            <w:rFonts w:ascii="Arial" w:cs="Arial" w:eastAsia="Arial" w:hAnsi="Arial"/>
            <w:sz w:val="22"/>
            <w:szCs w:val="22"/>
          </w:rPr>
          <w:t xml:space="preserve">https://github.com/CarlosArleo/DNI_v4.0_Replication_Package</w:t>
        </w:r>
      </w:hyperlink>
    </w:p>
    <w:p>
      <w:pPr>
        <w:spacing w:after="160" w:before="100"/>
      </w:pPr>
      <w:r>
        <w:rPr>
          <w:rFonts w:ascii="Arial" w:cs="Arial" w:eastAsia="Arial" w:hAnsi="Arial"/>
          <w:sz w:val="22"/>
          <w:szCs w:val="22"/>
        </w:rPr>
        <w:t xml:space="preserve">Live Replication Portal: </w:t>
      </w:r>
      <w:hyperlink w:history="1" r:id="rId8kfj2hatg1_szeavng-pt">
        <w:r>
          <w:rPr>
            <w:rStyle w:val="Hyperlink"/>
            <w:rFonts w:ascii="Arial" w:cs="Arial" w:eastAsia="Arial" w:hAnsi="Arial"/>
            <w:sz w:val="22"/>
            <w:szCs w:val="22"/>
          </w:rPr>
          <w:t xml:space="preserve">https://dni-metascience-v4.vercel.app/dni</w:t>
        </w:r>
      </w:hyperlink>
    </w:p>
    <w:p>
      <w:pPr>
        <w:spacing w:after="100" w:before="300"/>
      </w:pPr>
    </w:p>
    <w:p>
      <w:pPr>
        <w:spacing w:after="100" w:before="100"/>
      </w:pPr>
      <w:r>
        <w:rPr>
          <w:rFonts w:ascii="Arial" w:cs="Arial" w:eastAsia="Arial" w:hAnsi="Arial"/>
          <w:i/>
          <w:iCs/>
          <w:color w:val="999999"/>
          <w:sz w:val="18"/>
          <w:szCs w:val="18"/>
        </w:rPr>
        <w:t xml:space="preserve">Carlos Arleo  |  c.arleo@localis-ai.uk  |  19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kaoa_26khvzrq4u8ljsd" Type="http://schemas.openxmlformats.org/officeDocument/2006/relationships/hyperlink" Target="https://doi.org/10.5281/zenodo.17692900" TargetMode="External"/><Relationship Id="rId4helk68tyh0itnxbfpcwt" Type="http://schemas.openxmlformats.org/officeDocument/2006/relationships/hyperlink" Target="https://doi.org/10.5281/zenodo.19616290" TargetMode="External"/><Relationship Id="rIdvbcxyul9zsoikl3jkntw8" Type="http://schemas.openxmlformats.org/officeDocument/2006/relationships/hyperlink" Target="https://doi.org/10.5281/zenodo.17692900" TargetMode="External"/><Relationship Id="rId-kuexyqqpy02nonowbrj8" Type="http://schemas.openxmlformats.org/officeDocument/2006/relationships/hyperlink" Target="https://doi.org/10.5281/zenodo.19616290" TargetMode="External"/><Relationship Id="rId7-k8hda43kqxzdn3apapi" Type="http://schemas.openxmlformats.org/officeDocument/2006/relationships/hyperlink" Target="https://github.com/CarlosArleo/DNI_v4.0_Replication_Package" TargetMode="External"/><Relationship Id="rId8kfj2hatg1_szeavng-pt" Type="http://schemas.openxmlformats.org/officeDocument/2006/relationships/hyperlink" Target="https://dni-metascience-v4.vercel.app/dn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2026-04-19T18:26:58.090Z</dcterms:created>
  <dcterms:modified xsi:type="dcterms:W3CDTF">2026-04-19T18:26:58.091Z</dcterms:modified>
</cp:coreProperties>
</file>

<file path=docProps/custom.xml><?xml version="1.0" encoding="utf-8"?>
<Properties xmlns="http://schemas.openxmlformats.org/officeDocument/2006/custom-properties" xmlns:vt="http://schemas.openxmlformats.org/officeDocument/2006/docPropsVTypes"/>
</file>