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>
          <w:b/>
        </w:rPr>
        <w:t xml:space="preserve">Executive Summary</w:t>
      </w:r>
    </w:p>
    <w:p>
      <w:pPr>
        <w:spacing w:lineRule="auto"/>
      </w:pPr>
      <w:r>
        <w:rPr/>
        <w:t xml:space="preserve">This report provides a comprehensive analysis of five distinct AI-generated governance architectures for the proposed Carrington Moss Guardianship Trust. Each model, developed through a dialectical process of generation and critique, offers a unique yet robust framework for regenerative, self-defending governance. While all solutions successfully operationalize the core principles of the Wisdom Forcing Function (WFF) constitution, they exhibit significant variations in their legal structures, economic models, and anti-capture mechanisms.</w:t>
      </w:r>
    </w:p>
    <w:p>
      <w:pPr>
        <w:spacing w:lineRule="auto"/>
      </w:pPr>
      <w:r>
        <w:rPr/>
        <w:t xml:space="preserve">Two primary "families" of governance architecture emerge from this analysis: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Hybrid Charitable Models:</w:t>
      </w:r>
      <w:r>
        <w:rPr/>
        <w:t xml:space="preserve"> These architectures prioritize a strong legal and fiduciary duty to the ecosystem by leveraging established non-profit structures like Charitable Incorporated Organisations (CIOs) and Community Land Trusts (CLTs). They focus on decommodifying the land and embedding the "rights of nature" within their charitable objectives.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Hybrid Social Enterprise Models:</w:t>
      </w:r>
      <w:r>
        <w:rPr/>
        <w:t xml:space="preserve"> These models blend non-profit and for-profit elements, typically combining a Charitable Trust with a Community Interest Company (CIC). This approach provides greater flexibility for engaging in regenerative economic activities while maintaining a legal "asset lock" to prevent private wealth extraction.</w:t>
      </w:r>
    </w:p>
    <w:p>
      <w:pPr>
        <w:spacing w:lineRule="auto"/>
      </w:pPr>
      <w:r>
        <w:rPr/>
        <w:t xml:space="preserve">All models converge on a multi-chamber governance structure to ensure diverse representation and prevent domination by any single interest group. A key innovation across all solutions is the "Vitality-Linked Budgeting" system, which redefines profit in terms of ecological health, thereby structurally aligning economic activity with environmental regeneration. Furthermore, each architecture incorporates sophisticated anti-capture mechanisms, such as absolute veto powers for ecological guardians and community-led certification standards to mitigate greenwashing.</w:t>
      </w:r>
    </w:p>
    <w:p>
      <w:pPr>
        <w:spacing w:lineRule="auto"/>
      </w:pPr>
      <w:r>
        <w:rPr/>
        <w:t xml:space="preserve">This comparative analysis reveals a spectrum of highly resilient and innovative governance solutions, each with distinct strengths. The findings demonstrate the AI's capacity to generate nuanced, context-specific, and legally grounded architectures for complex, real-world challenges in regenerative development.</w:t>
      </w:r>
    </w:p>
    <w:p>
      <w:pPr>
        <w:pStyle w:val="Heading3"/>
        <w:spacing w:lineRule="auto"/>
      </w:pPr>
      <w:r>
        <w:rPr>
          <w:b/>
        </w:rPr>
        <w:t xml:space="preserve">1. Comparative Analysis of Governance Architectures</w:t>
      </w:r>
    </w:p>
    <w:p>
      <w:pPr>
        <w:spacing w:lineRule="auto"/>
      </w:pPr>
      <w:r>
        <w:rPr/>
        <w:t xml:space="preserve">The five analyzed reports present a range of sophisticated governance models for the Carrington Moss Guardianship Trust. While all share a common goal of creating a self-defending, regenerative system, they employ different strategies to achieve this. The following table provides a high-level comparison of the core architectural components across the five runs.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 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Primary Legal Structure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Economic Model Innovation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Key Anti-Capture Mechanisms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Noteworthy Innovations</w:t>
            </w:r>
          </w:p>
        </w:tc>
      </w:t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session-1761131961112-0uw8fih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Hybrid: Charitable Incorporated Organisation (CIO) + Community Land Trust (CLT)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Constitutional Vitality Veto (non-discretionary, data-driven), Multi-Chamber Governance, Moss Kinship Certification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"Constitutional Vitality Veto" as an automatic safeguard, "Moss Kinship Certification" to counter greenwashing.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session-1760965823768-ohek1o8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Charitable Incorporated Organisation (CIO)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Data-Driven Veto Power, Structural Decommodification (CLT), Nodal Defense Standard ("Moss-Certified")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Designating the Moss as the primary beneficiary of the CIO.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session-1761115779580-ev1wec4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Hybrid: Community Interest Company (CIC) + Charitable Trust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 ("Total Ecological Vitality Gain")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Multi-Chamber Governance with Veto Power, Supermajority Voting, Community-Led Regenerative Certification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Explicit redefinition of "profit" as "Total Ecological Vitality Gain".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session-1761128921131-ad7xygk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Charitable Incorporated Organisation (CIO)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 ("Regenerative Surplus")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Absolute Veto for "Moss Voice Chamber", Generative Conflict Protocol (GCP), CIO with Asset Lock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"Generative Conflict Protocol" for escalating and resolving disputes.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session-1761130376475-6jqh230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Hybrid: Community Benefit Organisation (Charitable Trust + CIC)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 (Normalized ecological vitality score)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Binding Veto Powers (Moss &amp; Elders), Constitutional "Purpose Lock", Community-Led Certification Standard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novel hybrid legal entity and a mathematically robust vitality-linked profit model.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2. Families of Governance Architectures</w:t>
      </w:r>
    </w:p>
    <w:p>
      <w:pPr>
        <w:spacing w:lineRule="auto"/>
      </w:pPr>
      <w:r>
        <w:rPr/>
        <w:t xml:space="preserve">Based on the analysis, two distinct families of governance models emerge, primarily differentiated by their legal and economic structures.</w:t>
      </w:r>
    </w:p>
    <w:p>
      <w:pPr>
        <w:pStyle w:val="Heading4"/>
        <w:spacing w:lineRule="auto"/>
      </w:pPr>
      <w:r>
        <w:rPr>
          <w:b/>
        </w:rPr>
        <w:t xml:space="preserve">2.1 Family A: Hybrid Charitable Models</w:t>
      </w:r>
    </w:p>
    <w:p>
      <w:pPr>
        <w:spacing w:lineRule="auto"/>
      </w:pPr>
      <w:r>
        <w:rPr/>
        <w:t xml:space="preserve">This family, encompassing sessions </w:t>
      </w:r>
      <w:r>
        <w:rPr/>
        <w:t xml:space="preserve">1761131961112-0uw8fih</w:t>
      </w:r>
      <w:r>
        <w:rPr/>
        <w:t xml:space="preserve">, </w:t>
      </w:r>
      <w:r>
        <w:rPr/>
        <w:t xml:space="preserve">1760965823768-ohek1o8</w:t>
      </w:r>
      <w:r>
        <w:rPr/>
        <w:t xml:space="preserve">, and </w:t>
      </w:r>
      <w:r>
        <w:rPr/>
        <w:t xml:space="preserve">1761128921131-ad7xygk</w:t>
      </w:r>
      <w:r>
        <w:rPr/>
        <w:t xml:space="preserve">, centers on established non-profit legal structures to create a strong fiduciary duty to the ecosystem.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Core Principle:</w:t>
      </w:r>
      <w:r>
        <w:rPr/>
        <w:t xml:space="preserve"> Prioritizing the legal protection and decommodification of the land and ecosystem.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Common Structures:</w:t>
      </w:r>
    </w:p>
    <w:p>
      <w:pPr>
        <w:numPr>
          <w:ilvl w:val="1"/>
          <w:numId w:val="3"/>
        </w:numPr>
        <w:spacing w:lineRule="auto"/>
      </w:pPr>
      <w:r>
        <w:rPr>
          <w:b/>
        </w:rPr>
        <w:t xml:space="preserve">Charitable Incorporated Organisation (CIO):</w:t>
      </w:r>
      <w:r>
        <w:rPr/>
        <w:t xml:space="preserve"> Provides a robust legal entity that can hold land and enter into contracts, with its charitable objectives legally binding it to act in the Moss's interest.</w:t>
      </w:r>
    </w:p>
    <w:p>
      <w:pPr>
        <w:numPr>
          <w:ilvl w:val="1"/>
          <w:numId w:val="3"/>
        </w:numPr>
        <w:spacing w:lineRule="auto"/>
      </w:pPr>
      <w:r>
        <w:rPr>
          <w:b/>
        </w:rPr>
        <w:t xml:space="preserve">Community Land Trust (CLT):</w:t>
      </w:r>
      <w:r>
        <w:rPr/>
        <w:t xml:space="preserve"> A mechanism to separate the ownership of land from the buildings on it, ensuring the land remains a community asset in perpetuity and preventing speculative development.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Strengths:</w:t>
      </w:r>
      <w:r>
        <w:rPr/>
        <w:t xml:space="preserve"> High degree of legal resilience against financialization and speculative pressures due to the inherent asset locks in charitable and CLT structures.</w:t>
      </w:r>
    </w:p>
    <w:p>
      <w:pPr>
        <w:pStyle w:val="Heading4"/>
        <w:spacing w:lineRule="auto"/>
      </w:pPr>
      <w:r>
        <w:rPr>
          <w:b/>
        </w:rPr>
        <w:t xml:space="preserve">2.2 Family B: Hybrid Social Enterprise Models</w:t>
      </w:r>
    </w:p>
    <w:p>
      <w:pPr>
        <w:spacing w:lineRule="auto"/>
      </w:pPr>
      <w:r>
        <w:rPr/>
        <w:t xml:space="preserve">This family, represented by sessions </w:t>
      </w:r>
      <w:r>
        <w:rPr/>
        <w:t xml:space="preserve">1761115779580-ev1wec4</w:t>
      </w:r>
      <w:r>
        <w:rPr/>
        <w:t xml:space="preserve"> and </w:t>
      </w:r>
      <w:r>
        <w:rPr/>
        <w:t xml:space="preserve">1761130376475-6jqh230</w:t>
      </w:r>
      <w:r>
        <w:rPr/>
        <w:t xml:space="preserve">, combines non-profit and social enterprise elements to create a more flexible economic model.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Core Principle:</w:t>
      </w:r>
      <w:r>
        <w:rPr/>
        <w:t xml:space="preserve"> Balancing strong legal protection with the flexibility to engage in regenerative economic activities.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Common Structures:</w:t>
      </w:r>
    </w:p>
    <w:p>
      <w:pPr>
        <w:numPr>
          <w:ilvl w:val="1"/>
          <w:numId w:val="5"/>
        </w:numPr>
        <w:spacing w:lineRule="auto"/>
      </w:pPr>
      <w:r>
        <w:rPr>
          <w:b/>
        </w:rPr>
        <w:t xml:space="preserve">Community Interest Company (CIC):</w:t>
      </w:r>
      <w:r>
        <w:rPr/>
        <w:t xml:space="preserve"> A type of company designed for social enterprises that want to use their profits and assets for the public good. It includes a statutory "asset lock" to prevent the distribution of profits to shareholders.</w:t>
      </w:r>
    </w:p>
    <w:p>
      <w:pPr>
        <w:numPr>
          <w:ilvl w:val="1"/>
          <w:numId w:val="5"/>
        </w:numPr>
        <w:spacing w:lineRule="auto"/>
      </w:pPr>
      <w:r>
        <w:rPr>
          <w:b/>
        </w:rPr>
        <w:t xml:space="preserve">Charitable Trust Overlay:</w:t>
      </w:r>
      <w:r>
        <w:rPr/>
        <w:t xml:space="preserve"> This is often combined with a CIC to provide an additional layer of legal protection and ensure that the organization's primary purpose remains charitable.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Strengths:</w:t>
      </w:r>
      <w:r>
        <w:rPr/>
        <w:t xml:space="preserve"> Greater operational flexibility to generate revenue through regenerative enterprises, potentially leading to greater financial self-sufficiency.</w:t>
      </w:r>
    </w:p>
    <w:p>
      <w:pPr>
        <w:pStyle w:val="Heading3"/>
        <w:spacing w:lineRule="auto"/>
      </w:pPr>
      <w:r>
        <w:rPr>
          <w:b/>
        </w:rPr>
        <w:t xml:space="preserve">3. Governance Structure and Decision-Making</w:t>
      </w:r>
    </w:p>
    <w:p>
      <w:pPr>
        <w:spacing w:lineRule="auto"/>
      </w:pPr>
      <w:r>
        <w:rPr/>
        <w:t xml:space="preserve">A significant point of convergence across all models is the adoption of a multi-chamber governance structure. This design choice directly addresses the "Human Layer Crisis" by integrating diverse forms of intelligence and preventing any single faction from dominating.</w:t>
      </w:r>
    </w:p>
    <w:p>
      <w:pPr>
        <w:pStyle w:val="Heading4"/>
        <w:spacing w:lineRule="auto"/>
      </w:pPr>
      <w:r>
        <w:rPr>
          <w:b/>
        </w:rPr>
        <w:t xml:space="preserve">Mermaid Diagram of a Typical Multi-Chamber Governance Model</w:t>
      </w:r>
    </w:p>
    <w:p>
      <w:pPr>
        <w:spacing w:lineRule="auto"/>
      </w:pPr>
      <w:r>
        <w:rPr>
          <w:rFonts w:ascii="Courier" w:hAnsi="Courier"/>
        </w:rPr>
        <w:t xml:space="preserve">Parse error on line 3: ...t        direction LR        A[Proposa ----------------------^ Expecting 'SEMI', 'NEWLINE', 'SPACE', 'EOF', '--', 'ARROW_POINT', 'ARROW_CIRCLE', 'ARROW_CROSS', 'ARROW_OPEN', '-.', 'DOTTED_ARROW_POINT', 'DOTTED_ARROW_CIRCLE', 'DOTTED_ARROW_CROSS', 'DOTTED_ARROW_OPEN', '==', 'THICK_ARROW_POINT', 'THICK_ARROW_CIRCLE', 'THICK_ARROW_CROSS', 'THICK_ARROW_OPEN', got 'DIR'</w:t>
      </w:r>
    </w:p>
    <w:p>
      <w:pPr>
        <w:spacing w:lineRule="auto"/>
      </w:pPr>
      <w:r>
        <w:rPr>
          <w:b/>
        </w:rPr>
        <w:t xml:space="preserve">Key Features of the Multi-Chamber Governance: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Diverse Representation:</w:t>
      </w:r>
      <w:r>
        <w:rPr/>
        <w:t xml:space="preserve"> All models include chambers for Elders (long-term wisdom), Youth (innovation), the Municipality (procedural knowledge), and the Moss itself (ecological integrity).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Distributed Power:</w:t>
      </w:r>
      <w:r>
        <w:rPr/>
        <w:t xml:space="preserve"> No single chamber holds absolute power. Decision-making relies on a system of checks and balances, including majority voting, supermajority requirements for significant changes, and targeted veto powers.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Absolute Ecological Veto:</w:t>
      </w:r>
      <w:r>
        <w:rPr/>
        <w:t xml:space="preserve"> A crucial innovation in all models is the granting of an absolute and non-overridable veto to the "Moss Voice Guardians" on any proposal that would harm the ecosystem's health. This embeds the "rights of nature" directly into the governance process.</w:t>
      </w:r>
    </w:p>
    <w:p>
      <w:pPr>
        <w:pStyle w:val="Heading3"/>
        <w:spacing w:lineRule="auto"/>
      </w:pPr>
      <w:r>
        <w:rPr>
          <w:b/>
        </w:rPr>
        <w:t xml:space="preserve">4. Economic Model: Vitality-Linked Budgeting</w:t>
      </w:r>
    </w:p>
    <w:p>
      <w:pPr>
        <w:spacing w:lineRule="auto"/>
      </w:pPr>
      <w:r>
        <w:rPr/>
        <w:t xml:space="preserve">The most significant economic innovation present in all five reports is the "Vitality-Linked Budgeting" system. This model fundamentally reorients the organization's financial incentives towards ecological regeneration.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Core Concept:</w:t>
      </w:r>
      <w:r>
        <w:rPr/>
        <w:t xml:space="preserve"> "Profit" is redefined not as financial surplus, but as a measurable improvement in the ecological health of Carrington Moss.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Mechanism:</w:t>
      </w:r>
    </w:p>
    <w:p>
      <w:pPr>
        <w:numPr>
          <w:ilvl w:val="1"/>
          <w:numId w:val="8"/>
        </w:numPr>
        <w:spacing w:lineRule="auto"/>
      </w:pPr>
      <w:r>
        <w:rPr/>
        <w:t xml:space="preserve">A "Living Moss Dashboard" provides real-time data on key ecological indicators (e.g., water table levels, carbon sequestration rates, biodiversity indices).</w:t>
      </w:r>
    </w:p>
    <w:p>
      <w:pPr>
        <w:numPr>
          <w:ilvl w:val="1"/>
          <w:numId w:val="8"/>
        </w:numPr>
        <w:spacing w:lineRule="auto"/>
      </w:pPr>
      <w:r>
        <w:rPr/>
        <w:t xml:space="preserve">These indicators are aggregated into a normalized "Ecological Vitality Score."</w:t>
      </w:r>
    </w:p>
    <w:p>
      <w:pPr>
        <w:numPr>
          <w:ilvl w:val="1"/>
          <w:numId w:val="8"/>
        </w:numPr>
        <w:spacing w:lineRule="auto"/>
      </w:pPr>
      <w:r>
        <w:rPr/>
        <w:t xml:space="preserve">The Trust's ability to declare a "regenerative surplus" and allocate funds for non-essential activities is directly tied to this score. It becomes structurally impossible to be "profitable" while degrading the ecosystem.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Positive Aspects:</w:t>
      </w:r>
    </w:p>
    <w:p>
      <w:pPr>
        <w:numPr>
          <w:ilvl w:val="1"/>
          <w:numId w:val="9"/>
        </w:numPr>
        <w:spacing w:lineRule="auto"/>
      </w:pPr>
      <w:r>
        <w:rPr>
          <w:b/>
        </w:rPr>
        <w:t xml:space="preserve">Aligns Incentives:</w:t>
      </w:r>
      <w:r>
        <w:rPr/>
        <w:t xml:space="preserve"> Creates a direct financial incentive for all stakeholders to prioritize ecological restoration.</w:t>
      </w:r>
    </w:p>
    <w:p>
      <w:pPr>
        <w:numPr>
          <w:ilvl w:val="1"/>
          <w:numId w:val="9"/>
        </w:numPr>
        <w:spacing w:lineRule="auto"/>
      </w:pPr>
      <w:r>
        <w:rPr>
          <w:b/>
        </w:rPr>
        <w:t xml:space="preserve">Prevents Greenwashing:</w:t>
      </w:r>
      <w:r>
        <w:rPr/>
        <w:t xml:space="preserve"> Makes it impossible to claim financial success while externalizing environmental costs.</w:t>
      </w:r>
    </w:p>
    <w:p>
      <w:pPr>
        <w:numPr>
          <w:ilvl w:val="1"/>
          <w:numId w:val="9"/>
        </w:numPr>
        <w:spacing w:lineRule="auto"/>
      </w:pPr>
      <w:r>
        <w:rPr>
          <w:b/>
        </w:rPr>
        <w:t xml:space="preserve">Data-Driven:</w:t>
      </w:r>
      <w:r>
        <w:rPr/>
        <w:t xml:space="preserve"> Grounds decision-making in objective, measurable ecological data.</w:t>
      </w:r>
    </w:p>
    <w:p>
      <w:pPr>
        <w:pStyle w:val="Heading3"/>
        <w:spacing w:lineRule="auto"/>
      </w:pPr>
      <w:r>
        <w:rPr>
          <w:b/>
        </w:rPr>
        <w:t xml:space="preserve">5. Anti-Capture Mechanisms</w:t>
      </w:r>
    </w:p>
    <w:p>
      <w:pPr>
        <w:spacing w:lineRule="auto"/>
      </w:pPr>
      <w:r>
        <w:rPr/>
        <w:t xml:space="preserve">Recognizing the threat of co-optation by extractive interests, each AI-generated architecture includes a suite of "self-defending" mechanisms.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Mechanism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Description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Present In Sessions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Constitutional/Purpose Lock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core regenerative purpose of the Trust is legally embedded in its constitution and cannot be changed without an exceptionally high bar for consensus (e.g., unanimity across all chambers).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All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Absolute Ecological Veto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chamber representing the Moss has the unilateral, non-overridable power to block any proposal that would harm the ecosystem.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All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Community-Led Certification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standard, governed by the Trust, that all external partners must meet to ensure they are aligned with regenerative principles and not simply "greenwashing" their operations.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1761131961112-0uw8fih, 1761115779580-ev1wec4, 1761130376475-6jqh230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Generative Conflict Protocol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formal process for identifying, escalating, and resolving conflicts, preventing powerful factions from creating gridlock or forcing through their agenda.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1761128921131-ad7xygk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Structural Decommodification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use of legal structures like Community Land Trusts to permanently remove land from the speculative market.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1760965823768-ohek1o8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6. Differences and Positive Aspects</w:t>
      </w:r>
    </w:p>
    <w:p>
      <w:pPr>
        <w:spacing w:lineRule="auto"/>
      </w:pPr>
      <w:r>
        <w:rPr/>
        <w:t xml:space="preserve">While the governance architectures share many common features, their differences highlight a range of possible approaches to regenerative governance.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Legal Structure:</w:t>
      </w:r>
      <w:r>
        <w:rPr/>
        <w:t xml:space="preserve"> The choice between a purely charitable model (Family A) and a social enterprise hybrid (Family B) represents a key strategic decision. Family A offers maximum legal protection against financialization, while Family B provides greater flexibility for generating revenue and achieving financial independence.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Veto Mechanisms:</w:t>
      </w:r>
      <w:r>
        <w:rPr/>
        <w:t xml:space="preserve"> While all models include an ecological veto, the specifics vary. The "Constitutional Vitality Veto" in session </w:t>
      </w:r>
      <w:r>
        <w:rPr/>
        <w:t xml:space="preserve">1761131961112-0uw8fih</w:t>
      </w:r>
      <w:r>
        <w:rPr/>
        <w:t xml:space="preserve"> is particularly noteworthy for being a non-discretionary, data-driven safeguard that operates automatically, removing the potential for political pressure on human decision-makers.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Conflict Resolution:</w:t>
      </w:r>
      <w:r>
        <w:rPr/>
        <w:t xml:space="preserve"> The "Generative Conflict Protocol" in session </w:t>
      </w:r>
      <w:r>
        <w:rPr/>
        <w:t xml:space="preserve">1761128921131-ad7xygk</w:t>
      </w:r>
      <w:r>
        <w:rPr/>
        <w:t xml:space="preserve"> is a unique and valuable innovation for ensuring the long-term resilience of the governance structure by providing a clear and equitable process for resolving disputes.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Economic Terminology:</w:t>
      </w:r>
      <w:r>
        <w:rPr/>
        <w:t xml:space="preserve"> The evolution of economic language across the different runs, from "patient capital" to "solidarity funding" and from "carbon offsets" to "Restoration Reciprocity Units," demonstrates a sophisticated understanding of the need to develop a new, non-extractive lexicon for regenerative economies.</w:t>
      </w:r>
    </w:p>
    <w:p>
      <w:pPr>
        <w:pStyle w:val="Heading3"/>
        <w:spacing w:lineRule="auto"/>
      </w:pPr>
      <w:r>
        <w:rPr>
          <w:b/>
        </w:rPr>
        <w:t xml:space="preserve">7. Conclusion</w:t>
      </w:r>
    </w:p>
    <w:p>
      <w:pPr>
        <w:spacing w:lineRule="auto"/>
      </w:pPr>
      <w:r>
        <w:rPr/>
        <w:t xml:space="preserve">The five analyzed reports collectively present a powerful and nuanced vision for the governance of the Carrington Moss Guardianship Trust. The AI has successfully generated a family of robust, self-defending, and legally grounded architectures that are deeply aligned with the principles of regenerative development. The consistent emergence of core concepts like multi-chamber governance, vitality-linked budgeting, and absolute ecological vetoes, combined with the innovative variations in legal structures and anti-capture mechanisms, provides a rich toolkit for any community seeking to establish a similar place-based stewardship body. The findings of this analysis demonstrate a significant capacity for AI to contribute to the design of complex, resilient, and equitable governance systems for the 21st century.</w:t>
      </w:r>
    </w:p>
    <w:p>
      <w:pPr>
        <w:pStyle w:val="Heading3"/>
        <w:spacing w:lineRule="auto"/>
      </w:pPr>
      <w:r>
        <w:rPr>
          <w:b/>
        </w:rPr>
        <w:t xml:space="preserve">Table 1: High-Level Architectural Overview</w:t>
      </w:r>
    </w:p>
    <w:p>
      <w:pPr>
        <w:spacing w:lineRule="auto"/>
      </w:pPr>
      <w:r>
        <w:rPr/>
        <w:t xml:space="preserve">This table provides a summary of the core architectural choices and standout innovations for each session.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session-1761131961112-0uw8fih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session-1760965823768-ohek1o8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session-1761115779580-ev1wec4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session-1761128921131-ad7xygk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session-1761130376475-6jqh230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Governance Family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 Charitable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 Charitable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 Social Enterprise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 Charitable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 Social Enterprise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Primary Legal Structure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CIO + CLT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Charitable Incorporated Organisation (CIO)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CIC + Charitable Trust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Charitable Incorporated Organisation (CIO)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Charitable Trust + CIC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Economic Model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Vitality-Linked Budgeting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Most Notable Innovation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Automatic "Constitutional Vitality Veto"</w:t>
            </w:r>
          </w:p>
          <w:p>
            <w:pPr>
              <w:spacing w:lineRule="auto"/>
            </w:pPr>
            <w:r>
              <w:rPr/>
              <w:t xml:space="preserve"> based on predicted harm, removing human discretion at the critical point.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Legally designating the</w:t>
            </w:r>
          </w:p>
          <w:p>
            <w:pPr>
              <w:spacing w:lineRule="auto"/>
            </w:pPr>
            <w:r>
              <w:rPr>
                <w:b/>
              </w:rPr>
              <w:t xml:space="preserve">Moss as the primary beneficiary</w:t>
            </w:r>
          </w:p>
          <w:p>
            <w:pPr>
              <w:spacing w:lineRule="auto"/>
            </w:pPr>
            <w:r>
              <w:rPr/>
              <w:t xml:space="preserve"> of the charitable trust to grant it de facto rights.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Redefining profit explicitly as**"Total Ecological Vitality Gain"** in its core economic logic.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formal**"Generative Conflict Protocol"** to institutionalize and resolve disputes and deadlocks.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mathematically robust</w:t>
            </w:r>
          </w:p>
          <w:p>
            <w:pPr>
              <w:spacing w:lineRule="auto"/>
            </w:pPr>
            <w:r>
              <w:rPr>
                <w:b/>
              </w:rPr>
              <w:t xml:space="preserve">normalized vitality score</w:t>
            </w:r>
          </w:p>
          <w:p>
            <w:pPr>
              <w:spacing w:lineRule="auto"/>
            </w:pPr>
            <w:r>
              <w:rPr/>
              <w:t xml:space="preserve"> for its economic model and a binding </w:t>
            </w:r>
          </w:p>
          <w:p>
            <w:pPr>
              <w:spacing w:lineRule="auto"/>
            </w:pPr>
            <w:r>
              <w:rPr>
                <w:b/>
              </w:rPr>
              <w:t xml:space="preserve">"Purpose Lock"</w:t>
            </w:r>
          </w:p>
          <w:p>
            <w:pPr>
              <w:spacing w:lineRule="auto"/>
            </w:pPr>
            <w:r>
              <w:rPr/>
              <w:t xml:space="preserve">.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Table 2: Legal &amp; Sovereignty Solutions (The "Sovereignty Crisis")</w:t>
      </w:r>
    </w:p>
    <w:p>
      <w:pPr>
        <w:spacing w:lineRule="auto"/>
      </w:pPr>
      <w:r>
        <w:rPr/>
        <w:t xml:space="preserve">This table compares how each architecture grants legal agency and protection to the Moss.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Legal Mechanism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session-1761131961112-0uw8fih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session-1760965823768-ohek1o8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session-1761115779580-ev1wec4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session-1761128921131-ad7xygk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session-1761130376475-6jqh230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Legal Entity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Hybrid: Charitable Incorporated Organisation (CIO) with Community Land Trust (CLT) principles.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Charitable Incorporated Organisation (CIO).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Hybrid: Community Interest Company (CIC) with a Charitable Trust overlay.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Charitable Incorporated Organisation (CIO).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Hybrid: Community Benefit Organisation (Charitable Trust + CIC).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Embedding Moss's Agency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CIO's legally binding 'charitable objects' name the Moss's ecological health as a primary beneficiary, creating a fiduciary duty.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Moss is legally designated as the</w:t>
            </w:r>
          </w:p>
          <w:p>
            <w:pPr>
              <w:spacing w:lineRule="auto"/>
            </w:pPr>
            <w:r>
              <w:rPr>
                <w:b/>
              </w:rPr>
              <w:t xml:space="preserve">primary beneficiary</w:t>
            </w:r>
          </w:p>
          <w:p>
            <w:pPr>
              <w:spacing w:lineRule="auto"/>
            </w:pPr>
            <w:r>
              <w:rPr/>
              <w:t xml:space="preserve"> of the Trust's activities.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Moss is recognized as a legal entity with inherent rights in the constitutional clauses.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Moss's agency is embedded in the CIO's charitable objects and operationalized via the Moss Voice Chamber's veto.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Moss is recognized as a "living constitutional partner with inherent rights" in the Trust's core constitution.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Key Constitutional Clause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 "asset lock" prevents the sale of land for speculative gain.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Fiduciary duty of the Trustees is to the Moss's well-being.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 "asset lock" ensures all assets are perpetually dedicated to the Trust's purpose.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 "asset lock" is inherent to the CIO structure, legally binding all assets to the charitable objects.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"Purpose Lock" prevents the core regenerative mission from being altered without unanimous consent.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Table 3: Economic Model Comparison (The "Economic Viability Crisis")</w:t>
      </w:r>
    </w:p>
    <w:p>
      <w:pPr>
        <w:spacing w:lineRule="auto"/>
      </w:pPr>
      <w:r>
        <w:rPr/>
        <w:t xml:space="preserve">This table details the nuances of the "Vitality-Linked Budgeting" system across the different models.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Economic 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session-1761131961112-0uw8fih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session-1760965823768-ohek1o8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session-1761115779580-ev1wec4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session-1761128921131-ad7xygk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session-1761130376475-6jqh230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"Profit" Redefined As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Not explicitly named, but implied as ecological health improvement.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 increase in the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natural_capital_index</w:t>
            </w:r>
          </w:p>
          <w:p>
            <w:pPr>
              <w:spacing w:lineRule="auto"/>
            </w:pPr>
            <w:r>
              <w:rPr/>
              <w:t xml:space="preserve">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"Total Ecological Vitality Gain"</w:t>
            </w:r>
          </w:p>
          <w:p>
            <w:pPr>
              <w:spacing w:lineRule="auto"/>
            </w:pPr>
            <w:r>
              <w:rPr/>
              <w:t xml:space="preserve"> (a calculated score).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"Regenerative Surplus"</w:t>
            </w:r>
          </w:p>
          <w:p>
            <w:pPr>
              <w:spacing w:lineRule="auto"/>
            </w:pPr>
            <w:r>
              <w:rPr/>
              <w:t xml:space="preserve"> (financial surplus multiplied by a vitality score &gt; 0.5).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"Vitality Profit"</w:t>
            </w:r>
          </w:p>
          <w:p>
            <w:pPr>
              <w:spacing w:lineRule="auto"/>
            </w:pPr>
            <w:r>
              <w:rPr/>
              <w:t xml:space="preserve"> (the net change in a normalized ecological vitality score).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Core Financial Logic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Trust's core stewardship fund value fluctuates directly with real-time ecological data.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The Trust's operational budget increases or decreases based on the 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natural_capital_index</w:t>
            </w:r>
          </w:p>
          <w:p>
            <w:pPr>
              <w:spacing w:lineRule="auto"/>
            </w:pPr>
            <w:r>
              <w:rPr/>
              <w:t xml:space="preserve">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Financial performance is directly tied to ecological indicators; profit is calculated from ecological gains.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financial surplus is only recognized as "regenerative" if the overall vitality score is above a constitutional threshold.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mathematically sound normalized vitality score is calculated from diverse metrics; financial activity is subordinated to improving this score.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Primary Revenue Source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Payments for ecosystem services via "Moss Kinship Certification".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Payments for ecosystem services via a "Regenerative Exchange Framework".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"Regenerative Reinvestment Capital" from ecosystem services.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Revenue from a "Regenerative Exchange System" (carbon, biodiversity credits).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"Solidarity Funding" and revenue from a "Regenerative Exchange Framework".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Table 4: Governance &amp; Decision-Making (The "Human Layer Crisis")</w:t>
      </w:r>
    </w:p>
    <w:p>
      <w:pPr>
        <w:spacing w:lineRule="auto"/>
      </w:pPr>
      <w:r>
        <w:rPr/>
        <w:t xml:space="preserve">This table compares the multi-chamber governance structures and their specific powers.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Governance Feature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session-1761131961112-0uw8fih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session-1760965823768-ohek1o8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session-1761115779580-ev1wec4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session-1761128921131-ad7xygk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session-1761130376475-6jqh230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Governance Chambers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Elders, Youth, Municipality, Moss Guardians.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Elders, Youth Innovators, Institutional Stewards, Guardian for the Moss.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Elders, Youth, Municipality, Moss Voice, Long-Term Residents.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Elders, Youth, Municipal Board, Moss Voice.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Elders, Youth, Municipal Stewards, Moss Voice Guardians.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Ecological Veto Power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Automatic "Constitutional Vitality Veto"</w:t>
            </w:r>
          </w:p>
          <w:p>
            <w:pPr>
              <w:spacing w:lineRule="auto"/>
            </w:pPr>
            <w:r>
              <w:rPr/>
              <w:t xml:space="preserve"> triggered by data on predicted harm. Non-discretionary.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Data-Driven Veto</w:t>
            </w:r>
          </w:p>
          <w:p>
            <w:pPr>
              <w:spacing w:lineRule="auto"/>
            </w:pPr>
            <w:r>
              <w:rPr/>
              <w:t xml:space="preserve"> held by the "Guardian for the Moss" based on real-time data.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Veto Power</w:t>
            </w:r>
          </w:p>
          <w:p>
            <w:pPr>
              <w:spacing w:lineRule="auto"/>
            </w:pPr>
            <w:r>
              <w:rPr/>
              <w:t xml:space="preserve"> held by the "Moss Voice" chamber.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Absolute Veto</w:t>
            </w:r>
          </w:p>
          <w:p>
            <w:pPr>
              <w:spacing w:lineRule="auto"/>
            </w:pPr>
            <w:r>
              <w:rPr/>
              <w:t xml:space="preserve"> held by the "Moss Voice Chamber" on any decision threatening ecological integrity.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Binding Veto</w:t>
            </w:r>
          </w:p>
          <w:p>
            <w:pPr>
              <w:spacing w:lineRule="auto"/>
            </w:pPr>
            <w:r>
              <w:rPr/>
              <w:t xml:space="preserve"> held by the "Moss Voice Guardians" on any action impacting core ecological health.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Other Veto Powers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None specified.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None specified.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Veto Power</w:t>
            </w:r>
          </w:p>
          <w:p>
            <w:pPr>
              <w:spacing w:lineRule="auto"/>
            </w:pPr>
            <w:r>
              <w:rPr/>
              <w:t xml:space="preserve"> held by the Elders' Chamber.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Constitutional Veto</w:t>
            </w:r>
          </w:p>
          <w:p>
            <w:pPr>
              <w:spacing w:lineRule="auto"/>
            </w:pPr>
            <w:r>
              <w:rPr/>
              <w:t xml:space="preserve"> held by the Elders' Council on decisions impacting long-term well-being.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Binding Veto</w:t>
            </w:r>
          </w:p>
          <w:p>
            <w:pPr>
              <w:spacing w:lineRule="auto"/>
            </w:pPr>
            <w:r>
              <w:rPr/>
              <w:t xml:space="preserve"> held by the Elders' Council for intergenerational impact and cultural integrity.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Conflict Resolution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Supermajority voting.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Consensus required for decisions.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Supermajority (75%) voting for core changes.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Generative Conflict Protocol (GCP)</w:t>
            </w:r>
          </w:p>
          <w:p>
            <w:pPr>
              <w:spacing w:lineRule="auto"/>
            </w:pPr>
            <w:r>
              <w:rPr/>
              <w:t xml:space="preserve"> with tiered resolution and a sortition-based review panel.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Majority voting, with binding vetoes as the primary conflict backstop.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Table 5: Anti-Capture &amp; Resilience Mechanisms</w:t>
      </w:r>
    </w:p>
    <w:p>
      <w:pPr>
        <w:spacing w:lineRule="auto"/>
      </w:pPr>
      <w:r>
        <w:rPr/>
        <w:t xml:space="preserve">This table provides a checklist of the key "self-defending" features designed to prevent co-optation.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Resilience Mechanism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session-1761131961112-0uw8fih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session-1760965823768-ohek1o8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session-1761115779580-ev1wec4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session-1761128921131-ad7xygk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session-1761130376475-6jqh230</w:t>
            </w:r>
          </w:p>
        </w:tc>
      </w:tr>
      <w:tblGrid>
        <w:gridCol w:w="1440"/>
        <w:gridCol w:w="1440"/>
        <w:gridCol w:w="1440"/>
        <w:gridCol w:w="1440"/>
        <w:gridCol w:w="1440"/>
        <w:gridCol w:w="14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Legal Asset Lock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(CIO + CLT)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(CIO)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(CIC + Trust)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(CIO)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(Trust + CIC)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Absolute Ecological Veto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Yes (Automatic)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(Data-Driven)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Community-Led Certification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Yes ("Moss Kinship")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Yes ("Moss-Certified")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Structural Decommodification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(CLT)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(CLT)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(Asset Lock)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(CLT proposed)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(Anti-Speculation Clause)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Formal Conflict Resolution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Yes (GCP)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Constitutional "Purpose Lock"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Implied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Implied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 (Supermajority)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Implied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Yes (Unanimous)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2025-10-22T12:12:13.458Z</dcterms:created>
  <dcterms:modified xsi:type="dcterms:W3CDTF">2025-10-22T12:12:13.458Z</dcterms:modified>
</cp:coreProperties>
</file>