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Retatrutida (retatrutide, LY3437943) — Dossiê de Pesquisa</w:t>
      </w:r>
    </w:p>
    <w:p>
      <w:pPr>
        <w:ind w:left="360"/>
        <w:pBdr>
          <w:left w:val="single" w:sz="18" w:space="8" w:color="8064A2"/>
        </w:pBdr>
        <w:spacing w:after="120"/>
      </w:pPr>
      <w:r>
        <w:rPr>
          <w:b/>
        </w:rPr>
        <w:t xml:space="preserve">Documento informativo — não é aconselhamento médico.</w:t>
      </w:r>
      <w:r>
        <w:t xml:space="preserve"> A retatrutida é um fármaco </w:t>
      </w:r>
      <w:r>
        <w:rPr>
          <w:b/>
        </w:rPr>
        <w:t xml:space="preserve">investigacional</w:t>
      </w:r>
      <w:r>
        <w:t xml:space="preserve"> (experimental), </w:t>
      </w:r>
      <w:r>
        <w:rPr>
          <w:b/>
        </w:rPr>
        <w:t xml:space="preserve">não aprovado</w:t>
      </w:r>
      <w:r>
        <w:t xml:space="preserve"> por nenhuma agência reguladora do mundo até esta data. Nenhuma decisão sobre tratamento de sobrepeso/obesidade deve ser tomada com base neste material sem acompanhamento de um profissional de saúde habilitado.</w:t>
      </w:r>
    </w:p>
    <w:p>
      <w:pPr>
        <w:ind w:left="360"/>
        <w:pBdr>
          <w:left w:val="single" w:sz="18" w:space="8" w:color="8064A2"/>
        </w:pBdr>
        <w:spacing w:after="120"/>
      </w:pPr>
      <w:r>
        <w:t xml:space="preserve"/>
      </w:r>
    </w:p>
    <w:p>
      <w:pPr>
        <w:ind w:left="360"/>
        <w:pBdr>
          <w:left w:val="single" w:sz="18" w:space="8" w:color="8064A2"/>
        </w:pBdr>
        <w:spacing w:after="120"/>
      </w:pPr>
      <w:r>
        <w:t xml:space="preserve">Pesquisa compilada em </w:t>
      </w:r>
      <w:r>
        <w:rPr>
          <w:b/>
        </w:rPr>
        <w:t xml:space="preserve">2026-07-04</w:t>
      </w:r>
      <w:r>
        <w:t xml:space="preserve"> a partir de fontes oficiais e revisadas por pares, com verificação adversarial das afirmações (24 de 25 afirmações confirmadas por votação independente 3-0).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spacing w:after="120"/>
      </w:pPr>
      <w:r>
        <w:t xml:space="preserve">Resumo executivo</w:t>
      </w:r>
    </w:p>
    <w:p>
      <w:pPr>
        <w:spacing w:after="120"/>
      </w:pPr>
      <w:r>
        <w:t xml:space="preserve">A </w:t>
      </w:r>
      <w:r>
        <w:rPr>
          <w:b/>
        </w:rPr>
        <w:t xml:space="preserve">retatrutida (LY3437943)</w:t>
      </w:r>
      <w:r>
        <w:t xml:space="preserve">, da </w:t>
      </w:r>
      <w:r>
        <w:rPr>
          <w:b/>
        </w:rPr>
        <w:t xml:space="preserve">Eli Lilly</w:t>
      </w:r>
      <w:r>
        <w:t xml:space="preserve">, é um injetável de aplicação </w:t>
      </w:r>
      <w:r>
        <w:rPr>
          <w:b/>
        </w:rPr>
        <w:t xml:space="preserve">semanal</w:t>
      </w:r>
      <w:r>
        <w:t xml:space="preserve">, primeiro da sua classe, que atua como </w:t>
      </w:r>
      <w:r>
        <w:rPr>
          <w:b/>
        </w:rPr>
        <w:t xml:space="preserve">agonista triplo</w:t>
      </w:r>
      <w:r>
        <w:t xml:space="preserve"> dos receptores de </w:t>
      </w:r>
      <w:r>
        <w:rPr>
          <w:b/>
        </w:rPr>
        <w:t xml:space="preserve">GIP, GLP-1 e glucagon</w:t>
      </w:r>
      <w:r>
        <w:t xml:space="preserve"> — mecanismo que a diferencia das "canetas" já aprovadas (semaglutida, agonista único de GLP-1; tirzepatida, agonista duplo GIP/GLP-1).</w:t>
      </w:r>
    </w:p>
    <w:p>
      <w:pPr>
        <w:spacing w:after="120"/>
      </w:pPr>
      <w:r>
        <w:t xml:space="preserve">Nos ensaios clínicos mostrou perda de peso </w:t>
      </w:r>
      <w:r>
        <w:rPr>
          <w:b/>
        </w:rPr>
        <w:t xml:space="preserve">substancial e dose-dependente</w:t>
      </w:r>
      <w:r>
        <w:t xml:space="preserve">: até </w:t>
      </w:r>
      <w:r>
        <w:rPr>
          <w:b/>
        </w:rPr>
        <w:t xml:space="preserve">~24,2% em 48 semanas</w:t>
      </w:r>
      <w:r>
        <w:t xml:space="preserve"> na fase 2 (NEJM) e até </w:t>
      </w:r>
      <w:r>
        <w:rPr>
          <w:b/>
        </w:rPr>
        <w:t xml:space="preserve">28,3% em 80 semanas</w:t>
      </w:r>
      <w:r>
        <w:t xml:space="preserve"> (chegando a </w:t>
      </w:r>
      <w:r>
        <w:rPr>
          <w:b/>
        </w:rPr>
        <w:t xml:space="preserve">30,3%</w:t>
      </w:r>
      <w:r>
        <w:t xml:space="preserve"> em extensão de 104 semanas) na fase 3 pivotal TRIUMPH-1 — patamares numericamente superiores aos de semaglutida e tirzepatida. O perfil de segurança é dominado por </w:t>
      </w:r>
      <w:r>
        <w:rPr>
          <w:b/>
        </w:rPr>
        <w:t xml:space="preserve">efeitos gastrointestinais dose-dependentes</w:t>
      </w:r>
      <w:r>
        <w:t xml:space="preserve"> (náusea, diarreia, vômito, constipação), em geral leves a moderados.</w:t>
      </w:r>
    </w:p>
    <w:p>
      <w:pPr>
        <w:spacing w:after="120"/>
      </w:pPr>
      <w:r>
        <w:t xml:space="preserve">Regulatoriamente, permanece em </w:t>
      </w:r>
      <w:r>
        <w:rPr>
          <w:b/>
        </w:rPr>
        <w:t xml:space="preserve">fase 3</w:t>
      </w:r>
      <w:r>
        <w:t xml:space="preserve"> e </w:t>
      </w:r>
      <w:r>
        <w:rPr>
          <w:b/>
        </w:rPr>
        <w:t xml:space="preserve">não está aprovada</w:t>
      </w:r>
      <w:r>
        <w:t xml:space="preserve"> por FDA, EMA ou ANVISA. </w:t>
      </w:r>
      <w:r>
        <w:rPr>
          <w:b/>
        </w:rPr>
        <w:t xml:space="preserve">No Brasil, a ANVISA proibiu</w:t>
      </w:r>
      <w:r>
        <w:t xml:space="preserve"> a comercialização, importação e uso da retatrutida (Resolução-RE nº 214, de 20/01/2026). Qualquer uso hoje ocorre </w:t>
      </w:r>
      <w:r>
        <w:rPr>
          <w:b/>
        </w:rPr>
        <w:t xml:space="preserve">fora da regulação sanitária</w:t>
      </w:r>
      <w:r>
        <w:t xml:space="preserve"> e envolve riscos sérios.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spacing w:after="120"/>
      </w:pPr>
      <w:r>
        <w:t xml:space="preserve">1. O que é e como funciona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Nome / código:</w:t>
      </w:r>
      <w:r>
        <w:t xml:space="preserve"> retatrutida (retatrutide); código de desenvolvimento da Lilly </w:t>
      </w:r>
      <w:r>
        <w:rPr>
          <w:b/>
        </w:rPr>
        <w:t xml:space="preserve">LY3437943</w:t>
      </w:r>
      <w:r>
        <w:t xml:space="preserve">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Fabricante:</w:t>
      </w:r>
      <w:r>
        <w:t xml:space="preserve"> </w:t>
      </w:r>
      <w:r>
        <w:rPr>
          <w:b/>
        </w:rPr>
        <w:t xml:space="preserve">Eli Lilly and Company</w:t>
      </w:r>
      <w:r>
        <w:t xml:space="preserve">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Classe:</w:t>
      </w:r>
      <w:r>
        <w:t xml:space="preserve"> </w:t>
      </w:r>
      <w:r>
        <w:rPr>
          <w:b/>
        </w:rPr>
        <w:t xml:space="preserve">agonista triplo de hormônios</w:t>
      </w:r>
      <w:r>
        <w:t xml:space="preserve"> — ativa simultaneamente os receptores de </w:t>
      </w:r>
      <w:r>
        <w:rPr>
          <w:b/>
        </w:rPr>
        <w:t xml:space="preserve">GIP</w:t>
      </w:r>
      <w:r>
        <w:t xml:space="preserve"> (polipeptídeo insulinotrópico dependente de glicose), </w:t>
      </w:r>
      <w:r>
        <w:rPr>
          <w:b/>
        </w:rPr>
        <w:t xml:space="preserve">GLP-1</w:t>
      </w:r>
      <w:r>
        <w:t xml:space="preserve"> (peptídeo semelhante ao glucagon 1) e </w:t>
      </w:r>
      <w:r>
        <w:rPr>
          <w:b/>
        </w:rPr>
        <w:t xml:space="preserve">glucagon</w:t>
      </w:r>
      <w:r>
        <w:t xml:space="preserve">. É *first-in-class* (a primeira molécula da sua classe).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Via / frequência:</w:t>
      </w:r>
      <w:r>
        <w:t xml:space="preserve"> injeção </w:t>
      </w:r>
      <w:r>
        <w:rPr>
          <w:b/>
        </w:rPr>
        <w:t xml:space="preserve">subcutânea, uma vez por semana</w:t>
      </w:r>
      <w:r>
        <w:t xml:space="preserve">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Diferencial de mecanismo:</w:t>
      </w:r>
      <w:r>
        <w:t xml:space="preserve"> o componente </w:t>
      </w:r>
      <w:r>
        <w:rPr>
          <w:b/>
        </w:rPr>
        <w:t xml:space="preserve">glucagon</w:t>
      </w:r>
      <w:r>
        <w:t xml:space="preserve"> adicional contribui para </w:t>
      </w:r>
      <w:r>
        <w:rPr>
          <w:b/>
        </w:rPr>
        <w:t xml:space="preserve">maior gasto energético</w:t>
      </w:r>
      <w:r>
        <w:t xml:space="preserve">, o que a distingue dos agonistas de GLP-1 isolados (semaglutida) e dos duplos GIP/GLP-1 (tirzepatida).</w:t>
      </w:r>
    </w:p>
    <w:p>
      <w:pPr>
        <w:spacing w:after="120"/>
      </w:pPr>
      <w:r>
        <w:t xml:space="preserve">*Fontes: NEJM (Jastreboff et al., NEJMoa2301972); releases Eli Lilly; ClinicalTrials.gov NCT04881760, NCT07467447.*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spacing w:after="120"/>
      </w:pPr>
      <w:r>
        <w:t xml:space="preserve">1.1. Farmacologia, doses e o mito do "coquetel de agonistas"</w:t>
      </w:r>
    </w:p>
    <w:p>
      <w:pPr>
        <w:ind w:left="360"/>
        <w:pBdr>
          <w:left w:val="single" w:sz="18" w:space="8" w:color="8064A2"/>
        </w:pBdr>
        <w:spacing w:after="120"/>
      </w:pPr>
      <w:r>
        <w:t xml:space="preserve">⚠️ </w:t>
      </w:r>
      <w:r>
        <w:rPr>
          <w:b/>
        </w:rPr>
        <w:t xml:space="preserve">Esclarecimento essencial:</w:t>
      </w:r>
      <w:r>
        <w:t xml:space="preserve"> a retatrutida é *agonista* (ATIVA os receptores), não *antagonista* (que os bloqueia). E é </w:t>
      </w:r>
      <w:r>
        <w:rPr>
          <w:b/>
        </w:rPr>
        <w:t xml:space="preserve">uma única molécula</w:t>
      </w:r>
      <w:r>
        <w:t xml:space="preserve"> — um peptídeo de </w:t>
      </w:r>
      <w:r>
        <w:rPr>
          <w:b/>
        </w:rPr>
        <w:t xml:space="preserve">39 aminoácidos</w:t>
      </w:r>
      <w:r>
        <w:t xml:space="preserve"> — que ativa os três receptores ao mesmo tempo. </w:t>
      </w:r>
      <w:r>
        <w:rPr>
          <w:b/>
        </w:rPr>
        <w:t xml:space="preserve">NÃO é uma mistura</w:t>
      </w:r>
      <w:r>
        <w:t xml:space="preserve"> de três substâncias. Portanto </w:t>
      </w:r>
      <w:r>
        <w:rPr>
          <w:b/>
        </w:rPr>
        <w:t xml:space="preserve">não existe "quantidade de cada agonista" numa dose</w:t>
      </w:r>
      <w:r>
        <w:t xml:space="preserve">: "12 mg" é 12 mg da molécula inteira. O que difere entre os três alvos não é a quantidade, e sim a </w:t>
      </w:r>
      <w:r>
        <w:rPr>
          <w:b/>
        </w:rPr>
        <w:t xml:space="preserve">potência</w:t>
      </w:r>
      <w:r>
        <w:t xml:space="preserve"> intrínseca da molécula em cada receptor.</w:t>
      </w:r>
    </w:p>
    <w:p>
      <w:pPr>
        <w:spacing w:after="120"/>
      </w:pPr>
      <w:r>
        <w:rPr>
          <w:b/>
        </w:rPr>
        <w:t xml:space="preserve">Balança entre os três receptores</w:t>
      </w:r>
      <w:r>
        <w:t xml:space="preserve"> — potência medida por EC50 em ensaio de cAMP (quanto </w:t>
      </w:r>
      <w:r>
        <w:rPr>
          <w:b/>
        </w:rPr>
        <w:t xml:space="preserve">menor</w:t>
      </w:r>
      <w:r>
        <w:t xml:space="preserve">, </w:t>
      </w:r>
      <w:r>
        <w:rPr>
          <w:b/>
        </w:rPr>
        <w:t xml:space="preserve">mais potente</w:t>
      </w:r>
      <w:r>
        <w:t xml:space="preserve">); é *full agonist* nos três:</w:t>
      </w:r>
    </w:p>
    <w:tbl>
      <w:tblPr>
        <w:tblStyle w:val="TableGrid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 w:val="0420"/>
      </w:tblPr>
      <w:tblGrid>
        <w:gridCol/>
        <w:gridCol/>
        <w:gridCol/>
      </w:tblGrid>
      <w:tr>
        <w:trPr>
          <w:tblHeader/>
        </w:trPr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Receptor</w:t>
            </w:r>
          </w:p>
        </w:tc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EC50</w:t>
            </w:r>
          </w:p>
        </w:tc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Potência relativa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GIP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0,064 nM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mais potente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GLP-1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0,775 nM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intermediária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Glucagon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5,79 nM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menos potente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Comparada aos hormônios naturais, a retatrutida é </w:t>
      </w:r>
      <w:r>
        <w:rPr>
          <w:b/>
        </w:rPr>
        <w:t xml:space="preserve">mais potente no GIP</w:t>
      </w:r>
      <w:r>
        <w:t xml:space="preserve"> e </w:t>
      </w:r>
      <w:r>
        <w:rPr>
          <w:b/>
        </w:rPr>
        <w:t xml:space="preserve">menos potente</w:t>
      </w:r>
      <w:r>
        <w:t xml:space="preserve"> no GLP-1 e no glucagon. Estrutura: peptídeo de 39 aminoácidos derivado do *backbone* do GIP, com resíduos não codificados (Aib nas posições 2 e 20, α-metil-leucina na 13) e cadeia lateral de diácido graxo C20 que prolonga a meia-vida (ligação à albumina), viabilizando a aplicação semanal.</w:t>
      </w:r>
    </w:p>
    <w:p>
      <w:pPr>
        <w:spacing w:after="120"/>
      </w:pPr>
      <w:r>
        <w:rPr>
          <w:b/>
        </w:rPr>
        <w:t xml:space="preserve">Doses e escalonamento</w:t>
      </w:r>
      <w:r>
        <w:t xml:space="preserve"> — ⚠️ </w:t>
      </w:r>
      <w:r>
        <w:rPr>
          <w:b/>
        </w:rPr>
        <w:t xml:space="preserve">não há dose oficialmente recomendada nem bula</w:t>
      </w:r>
      <w:r>
        <w:t xml:space="preserve"> (fármaco não aprovado); os números abaixo são apenas os </w:t>
      </w:r>
      <w:r>
        <w:rPr>
          <w:b/>
        </w:rPr>
        <w:t xml:space="preserve">esquemas dos ensaios</w:t>
      </w:r>
      <w:r>
        <w:t xml:space="preserve">: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Doses-alvo:</w:t>
      </w:r>
      <w:r>
        <w:t xml:space="preserve"> 1, 4, 8, 12 mg/semana (fase 2); </w:t>
      </w:r>
      <w:r>
        <w:rPr>
          <w:b/>
        </w:rPr>
        <w:t xml:space="preserve">4, 9 e 12 mg/semana</w:t>
      </w:r>
      <w:r>
        <w:t xml:space="preserve"> (fase 3).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Escalonamento (fase 3 TRIUMPH):</w:t>
      </w:r>
      <w:r>
        <w:t xml:space="preserve"> início em </w:t>
      </w:r>
      <w:r>
        <w:rPr>
          <w:b/>
        </w:rPr>
        <w:t xml:space="preserve">2 mg/semana</w:t>
      </w:r>
      <w:r>
        <w:t xml:space="preserve">, aumento a cada </w:t>
      </w:r>
      <w:r>
        <w:rPr>
          <w:b/>
        </w:rPr>
        <w:t xml:space="preserve">4 semanas</w:t>
      </w:r>
      <w:r>
        <w:t xml:space="preserve"> (</w:t>
      </w:r>
      <w:r>
        <w:rPr>
          <w:b/>
        </w:rPr>
        <w:t xml:space="preserve">2 → 4 → 6 → 9 → 12 mg</w:t>
      </w:r>
      <w:r>
        <w:t xml:space="preserve">) até a dose-alvo — titulação gradual para reduzir eventos gastrointestinais dose-dependentes.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Resultado por dose-alvo (TRIUMPH-1):</w:t>
      </w:r>
      <w:r>
        <w:t xml:space="preserve"> 4 mg → −19,0%; 9 mg → −25,9%; 12 mg → −28,3%.</w:t>
      </w:r>
    </w:p>
    <w:p>
      <w:pPr>
        <w:spacing w:after="120"/>
      </w:pPr>
      <w:r>
        <w:rPr>
          <w:b/>
        </w:rPr>
        <w:t xml:space="preserve">Observação comparativa:</w:t>
      </w:r>
      <w:r>
        <w:t xml:space="preserve"> tirzepatida (agonista duplo GIP/GLP-1) e semaglutida (agonista único GLP-1) também são </w:t>
      </w:r>
      <w:r>
        <w:rPr>
          <w:b/>
        </w:rPr>
        <w:t xml:space="preserve">moléculas únicas</w:t>
      </w:r>
      <w:r>
        <w:t xml:space="preserve"> — a dose é sempre da molécula inteira, nunca uma soma de componentes.</w:t>
      </w:r>
    </w:p>
    <w:p>
      <w:pPr>
        <w:spacing w:after="120"/>
      </w:pPr>
      <w:r>
        <w:t xml:space="preserve">*Fontes: cAMP/EC50 e estrutura — Wikipedia (Retatrutide), fornecedores de referência bioquímica, revisão em ScienceDirect (S0014299924007854); doses/escalonamento — releases Eli Lilly/PRNewswire (TRIUMPH-1), NEJM (fase 2).*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spacing w:after="120"/>
      </w:pPr>
      <w:r>
        <w:t xml:space="preserve">2. Situação regulatória e de aprovação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Não aprovada em nenhum lugar do mundo</w:t>
      </w:r>
      <w:r>
        <w:t xml:space="preserve"> — sem registro em FDA, EMA ou ANVISA, em nenhuma indicação.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Fase de desenvolvimento:</w:t>
      </w:r>
      <w:r>
        <w:t xml:space="preserve"> ensaios clínicos de </w:t>
      </w:r>
      <w:r>
        <w:rPr>
          <w:b/>
        </w:rPr>
        <w:t xml:space="preserve">fase 3</w:t>
      </w:r>
      <w:r>
        <w:t xml:space="preserve"> (programa </w:t>
      </w:r>
      <w:r>
        <w:rPr>
          <w:b/>
        </w:rPr>
        <w:t xml:space="preserve">TRIUMPH</w:t>
      </w:r>
      <w:r>
        <w:t xml:space="preserve">).</w:t>
      </w:r>
    </w:p>
    <w:p>
      <w:pPr>
        <w:numPr>
          <w:ilvl w:val="0"/>
          <w:numId w:val="1"/>
        </w:numPr>
        <w:spacing w:after="60"/>
      </w:pPr>
      <w:r>
        <w:t xml:space="preserve">TRIUMPH-1 (pivotal) teve resultados *topline* anunciados em </w:t>
      </w:r>
      <w:r>
        <w:rPr>
          <w:b/>
        </w:rPr>
        <w:t xml:space="preserve">21/05/2026</w:t>
      </w:r>
      <w:r>
        <w:t xml:space="preserve">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Sete ensaios adicionais de fase 3</w:t>
      </w:r>
      <w:r>
        <w:t xml:space="preserve"> previstos para conclusão em </w:t>
      </w:r>
      <w:r>
        <w:rPr>
          <w:b/>
        </w:rPr>
        <w:t xml:space="preserve">2026</w:t>
      </w:r>
      <w:r>
        <w:t xml:space="preserve"> (obesidade, diabetes tipo 2, apneia do sono, doença hepática MASLD, dor lombar crônica, desfechos cardiovasculares/renais).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Previsão:</w:t>
      </w:r>
      <w:r>
        <w:t xml:space="preserve"> submissão regulatória (NDA à FDA) estimada para </w:t>
      </w:r>
      <w:r>
        <w:rPr>
          <w:b/>
        </w:rPr>
        <w:t xml:space="preserve">fim de 2026 / início de 2027</w:t>
      </w:r>
      <w:r>
        <w:t xml:space="preserve">; eventual disponibilidade só em </w:t>
      </w:r>
      <w:r>
        <w:rPr>
          <w:b/>
        </w:rPr>
        <w:t xml:space="preserve">2027–2028</w:t>
      </w:r>
      <w:r>
        <w:t xml:space="preserve">, se aprovada.</w:t>
      </w:r>
    </w:p>
    <w:p>
      <w:pPr>
        <w:ind w:left="360"/>
        <w:pBdr>
          <w:left w:val="single" w:sz="18" w:space="8" w:color="8064A2"/>
        </w:pBdr>
        <w:spacing w:after="120"/>
      </w:pPr>
      <w:r>
        <w:t xml:space="preserve">⚠️ </w:t>
      </w:r>
      <w:r>
        <w:rPr>
          <w:b/>
        </w:rPr>
        <w:t xml:space="preserve">Sensível ao tempo:</w:t>
      </w:r>
      <w:r>
        <w:t xml:space="preserve"> este campo muda rápido. O status de aprovação deve ser reconfirmado após o fim de 2026.</w:t>
      </w:r>
    </w:p>
    <w:p>
      <w:pPr>
        <w:spacing w:after="120"/>
      </w:pPr>
      <w:r>
        <w:t xml:space="preserve">*Fontes: releases Eli Lilly/PRNewswire; alerta DIVS/SC nº 03/2026.*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spacing w:after="120"/>
      </w:pPr>
      <w:r>
        <w:t xml:space="preserve">3. Eficácia (perda de peso)</w:t>
      </w:r>
    </w:p>
    <w:p>
      <w:pPr>
        <w:pStyle w:val="Heading3"/>
        <w:spacing w:after="120"/>
      </w:pPr>
      <w:r>
        <w:t xml:space="preserve">Fase 2 — NEJM, 48 semanas, 338 adultos (randomizado, duplo-cego, controlado por placebo)</w:t>
      </w:r>
    </w:p>
    <w:p>
      <w:pPr>
        <w:spacing w:after="120"/>
      </w:pPr>
      <w:r>
        <w:t xml:space="preserve">Perda de peso média, </w:t>
      </w:r>
      <w:r>
        <w:rPr>
          <w:b/>
        </w:rPr>
        <w:t xml:space="preserve">dose-dependente</w:t>
      </w:r>
      <w:r>
        <w:t xml:space="preserve">:</w:t>
      </w:r>
    </w:p>
    <w:tbl>
      <w:tblPr>
        <w:tblStyle w:val="TableGrid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 w:val="0420"/>
      </w:tblPr>
      <w:tblGrid>
        <w:gridCol/>
        <w:gridCol/>
      </w:tblGrid>
      <w:tr>
        <w:trPr>
          <w:tblHeader/>
        </w:trPr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Dose semanal</w:t>
            </w:r>
          </w:p>
        </w:tc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Perda de peso em 48 semanas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1 mg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−8,7%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4 mg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−17,1%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8 mg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−22,8%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12 mg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−24,2%</w:t>
            </w:r>
            <w:r>
              <w:t xml:space="preserve"> (≈ 26,2 kg)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Placebo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−2,1%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(Em 24 semanas, a dose de 12 mg já alcançava −17,5% / ≈18,7 kg.) Doses testadas: 1, 4, 8 e 12 mg, com escalonamento inicial de 2 ou 4 mg.</w:t>
      </w:r>
    </w:p>
    <w:p>
      <w:pPr>
        <w:pStyle w:val="Heading3"/>
        <w:spacing w:after="120"/>
      </w:pPr>
      <w:r>
        <w:t xml:space="preserve">Fase 3 — programa TRIUMPH (dados *topline*)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TRIUMPH-1</w:t>
      </w:r>
      <w:r>
        <w:t xml:space="preserve"> (80 semanas, 2.339 participantes): </w:t>
      </w:r>
      <w:r>
        <w:rPr>
          <w:b/>
        </w:rPr>
        <w:t xml:space="preserve">12 mg → −28,3%</w:t>
      </w:r>
      <w:r>
        <w:t xml:space="preserve"> (9 mg: −25,9%; 4 mg: −19,0%) vs. </w:t>
      </w:r>
      <w:r>
        <w:rPr>
          <w:b/>
        </w:rPr>
        <w:t xml:space="preserve">−2,2%</w:t>
      </w:r>
      <w:r>
        <w:t xml:space="preserve"> no placebo; </w:t>
      </w:r>
      <w:r>
        <w:rPr>
          <w:b/>
        </w:rPr>
        <w:t xml:space="preserve">−30,3%</w:t>
      </w:r>
      <w:r>
        <w:t xml:space="preserve"> em extensão de 104 semanas.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TRIUMPH-4</w:t>
      </w:r>
      <w:r>
        <w:t xml:space="preserve"> (obesidade + osteoartrite de joelho): 12 mg → −28,7% (71,2 lb); 9 mg → −26,4% (64,2 lb).</w:t>
      </w:r>
    </w:p>
    <w:p>
      <w:pPr>
        <w:pStyle w:val="Heading3"/>
        <w:spacing w:after="120"/>
      </w:pPr>
      <w:r>
        <w:t xml:space="preserve">Meta-análise (3 ECRs, 878 pacientes)</w:t>
      </w:r>
    </w:p>
    <w:p>
      <w:pPr>
        <w:spacing w:after="120"/>
      </w:pPr>
      <w:r>
        <w:t xml:space="preserve">Redução média de </w:t>
      </w:r>
      <w:r>
        <w:rPr>
          <w:b/>
        </w:rPr>
        <w:t xml:space="preserve">−14,33%</w:t>
      </w:r>
      <w:r>
        <w:t xml:space="preserve"> vs. placebo, dose-dependente (4 mg: −9,86%; 8 mg: −16,31%; 12 mg: −16,90%). Até </w:t>
      </w:r>
      <w:r>
        <w:rPr>
          <w:b/>
        </w:rPr>
        <w:t xml:space="preserve">63%</w:t>
      </w:r>
      <w:r>
        <w:t xml:space="preserve"> dos participantes com sobrepeso/obesidade e diabetes tipo 2 perderam ≥15% do peso em 36 semanas.</w:t>
      </w:r>
    </w:p>
    <w:p>
      <w:pPr>
        <w:ind w:left="360"/>
        <w:pBdr>
          <w:left w:val="single" w:sz="18" w:space="8" w:color="8064A2"/>
        </w:pBdr>
        <w:spacing w:after="120"/>
      </w:pPr>
      <w:r>
        <w:t xml:space="preserve">⚠️ Os dados de </w:t>
      </w:r>
      <w:r>
        <w:rPr>
          <w:b/>
        </w:rPr>
        <w:t xml:space="preserve">fase 3 são *topline</w:t>
      </w:r>
      <w:r>
        <w:t xml:space="preserve">* (comunicados do fabricante), </w:t>
      </w:r>
      <w:r>
        <w:rPr>
          <w:b/>
        </w:rPr>
        <w:t xml:space="preserve">ainda não publicados na íntegra revisada por pares</w:t>
      </w:r>
      <w:r>
        <w:t xml:space="preserve"> — os números podem sofrer ajuste na publicação final.</w:t>
      </w:r>
    </w:p>
    <w:p>
      <w:pPr>
        <w:spacing w:after="120"/>
      </w:pPr>
      <w:r>
        <w:t xml:space="preserve">*Fontes: NEJM (NEJMoa2301972); releases Eli Lilly/PRNewswire; meta-análise PMC12026077.*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spacing w:after="120"/>
      </w:pPr>
      <w:r>
        <w:t xml:space="preserve">3.1. Detalhamento dos ensaios por fase</w:t>
      </w:r>
    </w:p>
    <w:p>
      <w:pPr>
        <w:pStyle w:val="Heading3"/>
        <w:spacing w:after="120"/>
      </w:pPr>
      <w:r>
        <w:t xml:space="preserve">Fase 1</w:t>
      </w:r>
    </w:p>
    <w:p>
      <w:pPr>
        <w:spacing w:after="120"/>
      </w:pPr>
      <w:r>
        <w:t xml:space="preserve">Estudos iniciais em humanos (segurança, tolerabilidade, farmacocinética e farmacodinâmica, com escalonamento de dose) conduzidos pela Eli Lilly antes da fase 2.</w:t>
      </w:r>
    </w:p>
    <w:p>
      <w:pPr>
        <w:spacing w:after="120"/>
      </w:pPr>
      <w:r>
        <w:rPr>
          <w:b/>
        </w:rPr>
        <w:t xml:space="preserve">Ensaio de dose múltipla ascendente — NCT04143802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Desenho:</w:t>
      </w:r>
      <w:r>
        <w:t xml:space="preserve"> randomizado, duplo-cego, de grupos paralelos, com três braços: </w:t>
      </w:r>
      <w:r>
        <w:rPr>
          <w:b/>
        </w:rPr>
        <w:t xml:space="preserve">retatrutida (LY3437943)</w:t>
      </w:r>
      <w:r>
        <w:t xml:space="preserve">, </w:t>
      </w:r>
      <w:r>
        <w:rPr>
          <w:b/>
        </w:rPr>
        <w:t xml:space="preserve">dulaglutida</w:t>
      </w:r>
      <w:r>
        <w:t xml:space="preserve"> (comparador ativo) e </w:t>
      </w:r>
      <w:r>
        <w:rPr>
          <w:b/>
        </w:rPr>
        <w:t xml:space="preserve">placebo</w:t>
      </w:r>
      <w:r>
        <w:t xml:space="preserve">, todos subcutâneos.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Participantes:</w:t>
      </w:r>
      <w:r>
        <w:t xml:space="preserve"> </w:t>
      </w:r>
      <w:r>
        <w:rPr>
          <w:b/>
        </w:rPr>
        <w:t xml:space="preserve">72 adultos.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População:</w:t>
      </w:r>
      <w:r>
        <w:t xml:space="preserve"> adultos de 20–70 anos com </w:t>
      </w:r>
      <w:r>
        <w:rPr>
          <w:b/>
        </w:rPr>
        <w:t xml:space="preserve">diabetes tipo 2</w:t>
      </w:r>
      <w:r>
        <w:t xml:space="preserve"> (≥3 meses; HbA1c 7,0–10,5%; IMC 23–50), em dieta/exercício ou metformina.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Objetivo:</w:t>
      </w:r>
      <w:r>
        <w:t xml:space="preserve"> avaliar segurança, tolerabilidade, farmacocinética e farmacodinâmica com doses múltiplas ascendentes.</w:t>
      </w:r>
    </w:p>
    <w:p>
      <w:pPr>
        <w:spacing w:after="120"/>
      </w:pPr>
      <w:r>
        <w:t xml:space="preserve">*(Fonte: ClinicalTrials.gov NCT04143802.)*</w:t>
      </w:r>
    </w:p>
    <w:p>
      <w:pPr>
        <w:pStyle w:val="Heading3"/>
        <w:spacing w:after="120"/>
      </w:pPr>
      <w:r>
        <w:t xml:space="preserve">Fase 2 — dois ensaios distintos</w:t>
      </w:r>
    </w:p>
    <w:p>
      <w:pPr>
        <w:spacing w:after="120"/>
      </w:pPr>
      <w:r>
        <w:rPr>
          <w:b/>
        </w:rPr>
        <w:t xml:space="preserve">(a) Obesidade — Jastreboff et al., NEJM 2023 (NEJMoa2301972)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Desenho:</w:t>
      </w:r>
      <w:r>
        <w:t xml:space="preserve"> randomizado, duplo-cego, controlado por placebo.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Participantes:</w:t>
      </w:r>
      <w:r>
        <w:t xml:space="preserve"> </w:t>
      </w:r>
      <w:r>
        <w:rPr>
          <w:b/>
        </w:rPr>
        <w:t xml:space="preserve">338 adultos</w:t>
      </w:r>
      <w:r>
        <w:t xml:space="preserve"> com obesidade (ou sobrepeso com comorbidade).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Duração:</w:t>
      </w:r>
      <w:r>
        <w:t xml:space="preserve"> </w:t>
      </w:r>
      <w:r>
        <w:rPr>
          <w:b/>
        </w:rPr>
        <w:t xml:space="preserve">48 semanas</w:t>
      </w:r>
      <w:r>
        <w:t xml:space="preserve"> (leitura intermediária em 24 semanas).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Braços/doses:</w:t>
      </w:r>
      <w:r>
        <w:t xml:space="preserve"> placebo e retatrutida 1, 4, 8 e 12 mg/semana (com escalonamento inicial de 2 ou 4 mg).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Resultado principal:</w:t>
      </w:r>
      <w:r>
        <w:t xml:space="preserve"> perda de peso média dose-dependente até </w:t>
      </w:r>
      <w:r>
        <w:rPr>
          <w:b/>
        </w:rPr>
        <w:t xml:space="preserve">−24,2%</w:t>
      </w:r>
      <w:r>
        <w:t xml:space="preserve"> (12 mg) vs. −2,1% placebo em 48 semanas.</w:t>
      </w:r>
    </w:p>
    <w:p>
      <w:pPr>
        <w:spacing w:after="120"/>
      </w:pPr>
      <w:r>
        <w:rPr>
          <w:b/>
        </w:rPr>
        <w:t xml:space="preserve">(b) Diabetes tipo 2 — Rosenstock et al., The Lancet 2023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Desenho:</w:t>
      </w:r>
      <w:r>
        <w:t xml:space="preserve"> randomizado, duplo-cego, controlado (fase 2, população com DM2).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Participantes:</w:t>
      </w:r>
      <w:r>
        <w:t xml:space="preserve"> nº exato </w:t>
      </w:r>
      <w:r>
        <w:rPr>
          <w:b/>
        </w:rPr>
        <w:t xml:space="preserve">não detalhado</w:t>
      </w:r>
      <w:r>
        <w:t xml:space="preserve"> nesta pesquisa.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Duração:</w:t>
      </w:r>
      <w:r>
        <w:t xml:space="preserve"> </w:t>
      </w:r>
      <w:r>
        <w:rPr>
          <w:b/>
        </w:rPr>
        <w:t xml:space="preserve">36 semanas.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Destaque:</w:t>
      </w:r>
      <w:r>
        <w:t xml:space="preserve"> até </w:t>
      </w:r>
      <w:r>
        <w:rPr>
          <w:b/>
        </w:rPr>
        <w:t xml:space="preserve">63%</w:t>
      </w:r>
      <w:r>
        <w:t xml:space="preserve"> dos participantes perderam ≥15% do peso corporal.</w:t>
      </w:r>
    </w:p>
    <w:p>
      <w:pPr>
        <w:pStyle w:val="Heading3"/>
        <w:spacing w:after="120"/>
      </w:pPr>
      <w:r>
        <w:t xml:space="preserve">Fase 3 — Programa TRIUMPH (dados *topline*, ainda não publicados na íntegra)</w:t>
      </w:r>
    </w:p>
    <w:p>
      <w:pPr>
        <w:spacing w:after="120"/>
      </w:pPr>
      <w:r>
        <w:rPr>
          <w:b/>
        </w:rPr>
        <w:t xml:space="preserve">TRIUMPH-1 (pivotal — obesidade)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Participantes:</w:t>
      </w:r>
      <w:r>
        <w:t xml:space="preserve"> </w:t>
      </w:r>
      <w:r>
        <w:rPr>
          <w:b/>
        </w:rPr>
        <w:t xml:space="preserve">2.339.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Duração:</w:t>
      </w:r>
      <w:r>
        <w:t xml:space="preserve"> </w:t>
      </w:r>
      <w:r>
        <w:rPr>
          <w:b/>
        </w:rPr>
        <w:t xml:space="preserve">80 semanas</w:t>
      </w:r>
      <w:r>
        <w:t xml:space="preserve">, com </w:t>
      </w:r>
      <w:r>
        <w:rPr>
          <w:b/>
        </w:rPr>
        <w:t xml:space="preserve">extensão até 104 semanas.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Braços/doses:</w:t>
      </w:r>
      <w:r>
        <w:t xml:space="preserve"> placebo e retatrutida 4, 9 e 12 mg/semana.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Resultado:</w:t>
      </w:r>
      <w:r>
        <w:t xml:space="preserve"> </w:t>
      </w:r>
      <w:r>
        <w:rPr>
          <w:b/>
        </w:rPr>
        <w:t xml:space="preserve">−28,3%</w:t>
      </w:r>
      <w:r>
        <w:t xml:space="preserve"> (12 mg) vs. −2,2% placebo em 80 semanas; </w:t>
      </w:r>
      <w:r>
        <w:rPr>
          <w:b/>
        </w:rPr>
        <w:t xml:space="preserve">−30,3%</w:t>
      </w:r>
      <w:r>
        <w:t xml:space="preserve"> na extensão de 104 semanas.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Anúncio topline:</w:t>
      </w:r>
      <w:r>
        <w:t xml:space="preserve"> 21/05/2026.</w:t>
      </w:r>
    </w:p>
    <w:p>
      <w:pPr>
        <w:spacing w:after="120"/>
      </w:pPr>
      <w:r>
        <w:rPr>
          <w:b/>
        </w:rPr>
        <w:t xml:space="preserve">TRIUMPH-4 (obesidade + osteoartrite de joelho)</w:t>
      </w:r>
      <w:r>
        <w:t xml:space="preserve"> — *primeiro ensaio de fase 3 a reportar resultados*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Participantes:</w:t>
      </w:r>
      <w:r>
        <w:t xml:space="preserve"> </w:t>
      </w:r>
      <w:r>
        <w:rPr>
          <w:b/>
        </w:rPr>
        <w:t xml:space="preserve">445</w:t>
      </w:r>
      <w:r>
        <w:t xml:space="preserve">, randomizados 1:1:1.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Duração:</w:t>
      </w:r>
      <w:r>
        <w:t xml:space="preserve"> ~</w:t>
      </w:r>
      <w:r>
        <w:rPr>
          <w:b/>
        </w:rPr>
        <w:t xml:space="preserve">68 semanas.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Braços/doses:</w:t>
      </w:r>
      <w:r>
        <w:t xml:space="preserve"> placebo e retatrutida 9 e 12 mg/semana.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Resultado:</w:t>
      </w:r>
      <w:r>
        <w:t xml:space="preserve"> </w:t>
      </w:r>
      <w:r>
        <w:rPr>
          <w:b/>
        </w:rPr>
        <w:t xml:space="preserve">−28,7%</w:t>
      </w:r>
      <w:r>
        <w:t xml:space="preserve"> (71,2 lb) na dose de 12 mg; −26,4% (64,2 lb) na de 9 mg; além de alívio significativo da dor da osteoartrite de joelho.</w:t>
      </w:r>
    </w:p>
    <w:p>
      <w:pPr>
        <w:spacing w:after="120"/>
      </w:pPr>
      <w:r>
        <w:rPr>
          <w:b/>
        </w:rPr>
        <w:t xml:space="preserve">Programa TRIUMPH — panorama completo</w:t>
      </w:r>
      <w:r>
        <w:t xml:space="preserve"> O programa de fase 3 reúne </w:t>
      </w:r>
      <w:r>
        <w:rPr>
          <w:b/>
        </w:rPr>
        <w:t xml:space="preserve">oito ensaios pivotais</w:t>
      </w:r>
      <w:r>
        <w:t xml:space="preserve"> em paralelo, com </w:t>
      </w:r>
      <w:r>
        <w:rPr>
          <w:b/>
        </w:rPr>
        <w:t xml:space="preserve">mais de 5.800 participantes</w:t>
      </w:r>
      <w:r>
        <w:t xml:space="preserve"> no total (indicações de obesidade e diabetes), </w:t>
      </w:r>
      <w:r>
        <w:rPr>
          <w:b/>
        </w:rPr>
        <w:t xml:space="preserve">mais</w:t>
      </w:r>
      <w:r>
        <w:t xml:space="preserve"> um ensaio de desfechos cardiovasculares de grande porte (~10.000 pacientes).</w:t>
      </w:r>
    </w:p>
    <w:tbl>
      <w:tblPr>
        <w:tblStyle w:val="TableGrid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 w:val="0420"/>
      </w:tblPr>
      <w:tblGrid>
        <w:gridCol/>
        <w:gridCol/>
        <w:gridCol/>
      </w:tblGrid>
      <w:tr>
        <w:trPr>
          <w:tblHeader/>
        </w:trPr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Ensaio</w:t>
            </w:r>
          </w:p>
        </w:tc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Foco</w:t>
            </w:r>
          </w:p>
        </w:tc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Situação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TRIUMPH-1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Obesidade/sobrepeso (com protocolos aninhados p/ apneia do sono e osteoartrite)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*topline* divulgado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TRIUMPH-2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Diabetes tipo 2 com obesidade/sobrepeso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leitura prevista 2026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TRIUMPH-3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Desfechos cardiovasculares/renais (doença CV estabelecida)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leitura prevista 2026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TRIUMPH-4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Obesidade + osteoartrite de joelho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*topline* divulgado (445 part.)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Estudos adicionais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MASLD (fígado), dor lombar crônica, manutenção de dose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em andamento</w:t>
            </w:r>
          </w:p>
        </w:tc>
      </w:tr>
    </w:tbl>
    <w:p>
      <w:pPr>
        <w:spacing w:after="120"/>
      </w:pPr>
    </w:p>
    <w:p>
      <w:pPr>
        <w:ind w:left="360"/>
        <w:pBdr>
          <w:left w:val="single" w:sz="18" w:space="8" w:color="8064A2"/>
        </w:pBdr>
        <w:spacing w:after="120"/>
      </w:pPr>
      <w:r>
        <w:rPr>
          <w:b/>
        </w:rPr>
        <w:t xml:space="preserve">Registros ClinicalTrials.gov citados:</w:t>
      </w:r>
      <w:r>
        <w:t xml:space="preserve"> NCT04143802 (fase 1), NCT04881760, NCT05929079 (DM2), NCT05882045 (doença CV), NCT05936151 (função renal/DRC), NCT06859268 (manutenção), NCT07357415, NCT07232719.</w:t>
      </w:r>
    </w:p>
    <w:p>
      <w:pPr>
        <w:pStyle w:val="Heading3"/>
        <w:spacing w:after="120"/>
      </w:pPr>
      <w:r>
        <w:t xml:space="preserve">Tabela-resumo dos ensaios</w:t>
      </w:r>
    </w:p>
    <w:tbl>
      <w:tblPr>
        <w:tblStyle w:val="TableGrid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 w:val="0420"/>
      </w:tblPr>
      <w:tblGrid>
        <w:gridCol/>
        <w:gridCol/>
        <w:gridCol/>
        <w:gridCol/>
        <w:gridCol/>
        <w:gridCol/>
        <w:gridCol/>
        <w:gridCol/>
      </w:tblGrid>
      <w:tr>
        <w:trPr>
          <w:tblHeader/>
        </w:trPr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Ensaio</w:t>
            </w:r>
          </w:p>
        </w:tc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Fase</w:t>
            </w:r>
          </w:p>
        </w:tc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População</w:t>
            </w:r>
          </w:p>
        </w:tc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Nº participantes</w:t>
            </w:r>
          </w:p>
        </w:tc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Duração</w:t>
            </w:r>
          </w:p>
        </w:tc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Doses testadas</w:t>
            </w:r>
          </w:p>
        </w:tc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Perda de peso (dose máx.)</w:t>
            </w:r>
          </w:p>
        </w:tc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Situação da evidência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NCT04143802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1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Diabetes tipo 2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72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dose múltipla ascendente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vs dulaglutida e placebo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— (foco: segurança/PK)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ClinicalTrials.gov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Jastreboff (NEJM)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2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Obesidade/sobrepeso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338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48 sem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1, 4, 8, 12 mg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−24,2%</w:t>
            </w:r>
            <w:r>
              <w:t xml:space="preserve"> (12 mg) vs −2,1%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publicado, revisado por pares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Rosenstock (Lancet)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2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Diabetes tipo 2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não detalhado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36 sem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1, 4, 8, 12 mg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≥15% em até 63%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publicado, revisado por pares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Meta-análise (3 ECRs)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2 (pool)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Mista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878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—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4, 8, 12 mg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−14,33% vs placebo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revisada por pares (PMC)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TRIUMPH-1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3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Obesidade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2.339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80 sem (ext. 104)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4, 9, 12 mg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−28,3%</w:t>
            </w:r>
            <w:r>
              <w:t xml:space="preserve"> (ext. −30,3%) vs −2,2%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*topline* (fabricante)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TRIUMPH-4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3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Obesidade + osteoartrite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445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~68 sem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9, 12 mg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−28,7%</w:t>
            </w:r>
            <w:r>
              <w:t xml:space="preserve"> (12 mg)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*topline* (fabricante)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TRIUMPH-2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3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Diabetes tipo 2 + obesidade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(parte dos &gt;5.800)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—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—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—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leitura prevista 2026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TRIUMPH-3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3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Desfechos CV/renais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(parte dos &gt;5.800)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—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—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—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leitura prevista 2026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Estudos adicionais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3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MASLD, dor lombar, manutenção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—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—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—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—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em andamento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Programa TRIUMPH (total)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3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Obesidade + DM2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&gt;5.800</w:t>
            </w:r>
            <w:r>
              <w:t xml:space="preserve"> (+ ~10.000 no ensaio CV)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—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—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—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8 ensaios pivotais</w:t>
            </w:r>
          </w:p>
        </w:tc>
      </w:tr>
    </w:tbl>
    <w:p>
      <w:pPr>
        <w:spacing w:after="120"/>
      </w:pPr>
    </w:p>
    <w:p>
      <w:pPr>
        <w:ind w:left="360"/>
        <w:pBdr>
          <w:left w:val="single" w:sz="18" w:space="8" w:color="8064A2"/>
        </w:pBdr>
        <w:spacing w:after="120"/>
      </w:pPr>
      <w:r>
        <w:t xml:space="preserve">⚠️ "Não detalhado" = a informação não constava nas fontes desta pesquisa (não é ausência do dado no mundo real). Os ensaios de fase 3 são *topline* — números sujeitos a ajuste na publicação revisada por pares.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spacing w:after="120"/>
      </w:pPr>
      <w:r>
        <w:t xml:space="preserve">4. Segurança e efeitos colaterais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Mais comuns:</w:t>
      </w:r>
      <w:r>
        <w:t xml:space="preserve"> eventos </w:t>
      </w:r>
      <w:r>
        <w:rPr>
          <w:b/>
        </w:rPr>
        <w:t xml:space="preserve">gastrointestinais dose-dependentes</w:t>
      </w:r>
      <w:r>
        <w:t xml:space="preserve"> — náusea, diarreia, constipação, vômito, redução do apetite. Majoritariamente </w:t>
      </w:r>
      <w:r>
        <w:rPr>
          <w:b/>
        </w:rPr>
        <w:t xml:space="preserve">leves a moderados</w:t>
      </w:r>
      <w:r>
        <w:t xml:space="preserve">, parcialmente mitigados com dose inicial menor e escalonamento gradual.</w:t>
      </w:r>
    </w:p>
    <w:p>
      <w:pPr>
        <w:numPr>
          <w:ilvl w:val="0"/>
          <w:numId w:val="1"/>
        </w:numPr>
        <w:spacing w:after="60"/>
      </w:pPr>
      <w:r>
        <w:t xml:space="preserve">Náusea afeta ~</w:t>
      </w:r>
      <w:r>
        <w:rPr>
          <w:b/>
        </w:rPr>
        <w:t xml:space="preserve">28–43%</w:t>
      </w:r>
      <w:r>
        <w:t xml:space="preserve"> dos pacientes conforme a dose (na fase 2, variou de 14% na dose de 1 mg até 60% na de 12 mg).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Descontinuação por eventos adversos:</w:t>
      </w:r>
    </w:p>
    <w:p>
      <w:pPr>
        <w:numPr>
          <w:ilvl w:val="0"/>
          <w:numId w:val="1"/>
        </w:numPr>
        <w:spacing w:after="60"/>
      </w:pPr>
      <w:r>
        <w:t xml:space="preserve">TRIUMPH-1: </w:t>
      </w:r>
      <w:r>
        <w:rPr>
          <w:b/>
        </w:rPr>
        <w:t xml:space="preserve">~4,1% a 11,3%</w:t>
      </w:r>
      <w:r>
        <w:t xml:space="preserve"> (vs. 4,9% placebo).</w:t>
      </w:r>
    </w:p>
    <w:p>
      <w:pPr>
        <w:numPr>
          <w:ilvl w:val="0"/>
          <w:numId w:val="1"/>
        </w:numPr>
        <w:spacing w:after="60"/>
      </w:pPr>
      <w:r>
        <w:t xml:space="preserve">TRIUMPH-4: </w:t>
      </w:r>
      <w:r>
        <w:rPr>
          <w:b/>
        </w:rPr>
        <w:t xml:space="preserve">12,2% a 18,2%</w:t>
      </w:r>
      <w:r>
        <w:t xml:space="preserve"> (vs. 4,0% placebo) — população com comorbidade de osteoartrite; também relatou disestesia (8,8–20,9%).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Risco geral aumenta com a dose:</w:t>
      </w:r>
      <w:r>
        <w:t xml:space="preserve"> 4 mg RR 1,11 (não significativo); 8 mg RR 1,23; 12 mg RR 1,34.</w:t>
      </w:r>
    </w:p>
    <w:p>
      <w:pPr>
        <w:ind w:left="360"/>
        <w:pBdr>
          <w:left w:val="single" w:sz="18" w:space="8" w:color="8064A2"/>
        </w:pBdr>
        <w:spacing w:after="120"/>
      </w:pPr>
      <w:r>
        <w:t xml:space="preserve">As </w:t>
      </w:r>
      <w:r>
        <w:rPr>
          <w:b/>
        </w:rPr>
        <w:t xml:space="preserve">contraindicações formais e populações de risco</w:t>
      </w:r>
      <w:r>
        <w:t xml:space="preserve"> (ex.: história de câncer medular de tireoide / NEM-2, pancreatite, gestação) </w:t>
      </w:r>
      <w:r>
        <w:rPr>
          <w:b/>
        </w:rPr>
        <w:t xml:space="preserve">ainda não estão definidas em bula</w:t>
      </w:r>
      <w:r>
        <w:t xml:space="preserve">, justamente por ser fármaco investigacional. Sinais de longo prazo do componente glucagon (glicemia, frequência cardíaca, massa magra) ainda estão sob estudo.</w:t>
      </w:r>
    </w:p>
    <w:p>
      <w:pPr>
        <w:spacing w:after="120"/>
      </w:pPr>
      <w:r>
        <w:t xml:space="preserve">*Fontes: NEJM (NEJMoa2301972); releases TRIUMPH-1/TRIUMPH-4; meta-análise PMC12026077.*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spacing w:after="120"/>
      </w:pPr>
      <w:r>
        <w:t xml:space="preserve">5. Comparação com as "canetas" já disponíveis</w:t>
      </w:r>
    </w:p>
    <w:tbl>
      <w:tblPr>
        <w:tblStyle w:val="TableGrid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 w:val="0420"/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Fármaco</w:t>
            </w:r>
          </w:p>
        </w:tc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Marcas</w:t>
            </w:r>
          </w:p>
        </w:tc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Classe / alvos</w:t>
            </w:r>
          </w:p>
        </w:tc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Perda de peso (referência)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Retatrutida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(nenhuma — investigacional)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Agonista </w:t>
            </w:r>
            <w:r>
              <w:rPr>
                <w:b/>
              </w:rPr>
              <w:t xml:space="preserve">triplo</w:t>
            </w:r>
            <w:r>
              <w:t xml:space="preserve"> GIP/GLP-1/glucagon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Não aprovada</w:t>
            </w:r>
            <w:r>
              <w:t xml:space="preserve"> (fase 3)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até ~28–30% (ensaios)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Tirzepatida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Mounjaro, Zepbound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Agonista </w:t>
            </w:r>
            <w:r>
              <w:rPr>
                <w:b/>
              </w:rPr>
              <w:t xml:space="preserve">duplo</w:t>
            </w:r>
            <w:r>
              <w:t xml:space="preserve"> GIP/GLP-1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Aprovada (FDA/EMA); situação restrita no Brasil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superior à semaglutida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Semaglutida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Ozempic, Wegovy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Agonista </w:t>
            </w:r>
            <w:r>
              <w:rPr>
                <w:b/>
              </w:rPr>
              <w:t xml:space="preserve">único</w:t>
            </w:r>
            <w:r>
              <w:t xml:space="preserve"> GLP-1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Aprovada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referência de mercado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Liraglutida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Saxenda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Agonista </w:t>
            </w:r>
            <w:r>
              <w:rPr>
                <w:b/>
              </w:rPr>
              <w:t xml:space="preserve">único</w:t>
            </w:r>
            <w:r>
              <w:t xml:space="preserve"> GLP-1 (diário)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Aprovada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menor que as acima</w:t>
            </w:r>
          </w:p>
        </w:tc>
      </w:tr>
    </w:tbl>
    <w:p>
      <w:pPr>
        <w:spacing w:after="120"/>
      </w:pPr>
    </w:p>
    <w:p>
      <w:pPr>
        <w:numPr>
          <w:ilvl w:val="0"/>
          <w:numId w:val="1"/>
        </w:numPr>
        <w:spacing w:after="60"/>
      </w:pPr>
      <w:r>
        <w:t xml:space="preserve">Entre os </w:t>
      </w:r>
      <w:r>
        <w:rPr>
          <w:b/>
        </w:rPr>
        <w:t xml:space="preserve">aprovados</w:t>
      </w:r>
      <w:r>
        <w:t xml:space="preserve">, a </w:t>
      </w:r>
      <w:r>
        <w:rPr>
          <w:b/>
        </w:rPr>
        <w:t xml:space="preserve">tirzepatida é superior à semaglutida</w:t>
      </w:r>
      <w:r>
        <w:t xml:space="preserve"> na redução de peso (diferença média padronizada 0,75; IC 95% 0,52–0,92) e de HbA1c — suporte de </w:t>
      </w:r>
      <w:r>
        <w:rPr>
          <w:b/>
        </w:rPr>
        <w:t xml:space="preserve">ensaio head-to-head</w:t>
      </w:r>
      <w:r>
        <w:t xml:space="preserve"> (SURMOUNT-5) e meta-análises.</w:t>
      </w:r>
    </w:p>
    <w:p>
      <w:pPr>
        <w:numPr>
          <w:ilvl w:val="0"/>
          <w:numId w:val="1"/>
        </w:numPr>
        <w:spacing w:after="60"/>
      </w:pPr>
      <w:r>
        <w:t xml:space="preserve">A </w:t>
      </w:r>
      <w:r>
        <w:rPr>
          <w:b/>
        </w:rPr>
        <w:t xml:space="preserve">retatrutida</w:t>
      </w:r>
      <w:r>
        <w:t xml:space="preserve"> apresentou nos ensaios os </w:t>
      </w:r>
      <w:r>
        <w:rPr>
          <w:b/>
        </w:rPr>
        <w:t xml:space="preserve">maiores percentuais de perda de peso</w:t>
      </w:r>
      <w:r>
        <w:t xml:space="preserve"> relatados até hoje, superando </w:t>
      </w:r>
      <w:r>
        <w:rPr>
          <w:b/>
        </w:rPr>
        <w:t xml:space="preserve">numericamente</w:t>
      </w:r>
      <w:r>
        <w:t xml:space="preserve"> semaglutida e tirzepatida — </w:t>
      </w:r>
      <w:r>
        <w:rPr>
          <w:b/>
        </w:rPr>
        <w:t xml:space="preserve">porém</w:t>
      </w:r>
      <w:r>
        <w:t xml:space="preserve"> essa comparação é </w:t>
      </w:r>
      <w:r>
        <w:rPr>
          <w:b/>
        </w:rPr>
        <w:t xml:space="preserve">indireta</w:t>
      </w:r>
      <w:r>
        <w:t xml:space="preserve"> (entre ensaios distintos, não randomizados entre si), de menor força de evidência. </w:t>
      </w:r>
      <w:r>
        <w:rPr>
          <w:b/>
        </w:rPr>
        <w:t xml:space="preserve">Ainda não existem estudos head-to-head</w:t>
      </w:r>
      <w:r>
        <w:t xml:space="preserve"> da retatrutida contra tirzepatida/semaglutida.</w:t>
      </w:r>
    </w:p>
    <w:p>
      <w:pPr>
        <w:spacing w:after="120"/>
      </w:pPr>
      <w:r>
        <w:t xml:space="preserve">*Fontes: meta-análises PMC12263181, PMC12120964; TheNNT.*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spacing w:after="120"/>
      </w:pPr>
      <w:r>
        <w:t xml:space="preserve">6. Considerações práticas — Brasil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Sem registro na ANVISA</w:t>
      </w:r>
      <w:r>
        <w:t xml:space="preserve"> — não pode ser comercializada, importada ou usada.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Resolução-RE nº 214, de 20/01/2026:</w:t>
      </w:r>
      <w:r>
        <w:t xml:space="preserve"> a ANVISA determinou </w:t>
      </w:r>
      <w:r>
        <w:rPr>
          <w:b/>
        </w:rPr>
        <w:t xml:space="preserve">apreensão</w:t>
      </w:r>
      <w:r>
        <w:t xml:space="preserve"> e </w:t>
      </w:r>
      <w:r>
        <w:rPr>
          <w:b/>
        </w:rPr>
        <w:t xml:space="preserve">proibiu</w:t>
      </w:r>
      <w:r>
        <w:t xml:space="preserve"> comercialização, distribuição, fabricação, importação, propaganda e uso da </w:t>
      </w:r>
      <w:r>
        <w:rPr>
          <w:b/>
        </w:rPr>
        <w:t xml:space="preserve">retatrutida (todas as marcas)</w:t>
      </w:r>
      <w:r>
        <w:t xml:space="preserve"> e de marcas de tirzepatida (Synedica e TG). Base legal: art. 7º, XV, da Lei 9.782/1999.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Operação Heavy Pen (ANVISA + Polícia Federal, 07/04/2026):</w:t>
      </w:r>
      <w:r>
        <w:t xml:space="preserve"> ação contra o comércio ilegal de emagrecedores, mirando laboratórios de manipulação, clínicas de estética e empresas à margem da regulação, citando "sérios riscos sanitários".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Riscos do mercado ilegal:</w:t>
      </w:r>
      <w:r>
        <w:t xml:space="preserve"> produtos sem registro, de origem desconhecida, manipulados ou fracionados fora da regulação </w:t>
      </w:r>
      <w:r>
        <w:rPr>
          <w:b/>
        </w:rPr>
        <w:t xml:space="preserve">não têm garantia de identidade, dose, pureza ou esterilidade</w:t>
      </w:r>
      <w:r>
        <w:t xml:space="preserve"> — risco sério à saúde.</w:t>
      </w:r>
    </w:p>
    <w:p>
      <w:pPr>
        <w:spacing w:after="120"/>
      </w:pPr>
      <w:r>
        <w:t xml:space="preserve">*Fontes oficiais: ANVISA (gov.br); alerta DIVS/SC nº 03/2026; Resolução-RE nº 214/2026 (DOU).*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spacing w:after="120"/>
      </w:pPr>
      <w:r>
        <w:t xml:space="preserve">Ressalvas (leia antes de tirar conclusões)</w:t>
      </w:r>
    </w:p>
    <w:p>
      <w:pPr>
        <w:spacing w:after="120"/>
      </w:pPr>
      <w:r>
        <w:t xml:space="preserve">1. </w:t>
      </w:r>
      <w:r>
        <w:rPr>
          <w:b/>
        </w:rPr>
        <w:t xml:space="preserve">Sensível ao tempo</w:t>
      </w:r>
      <w:r>
        <w:t xml:space="preserve"> — dados de fase 3 são *topline* do fabricante, não publicados integralmente revisados por pares; números podem mudar. 2. </w:t>
      </w:r>
      <w:r>
        <w:rPr>
          <w:b/>
        </w:rPr>
        <w:t xml:space="preserve">É investigacional</w:t>
      </w:r>
      <w:r>
        <w:t xml:space="preserve"> — não aprovada por FDA/EMA/ANVISA; todo uso atual no Brasil é ilegal e sem garantia de qualidade/segurança. 3. </w:t>
      </w:r>
      <w:r>
        <w:rPr>
          <w:b/>
        </w:rPr>
        <w:t xml:space="preserve">Comparações são indiretas</w:t>
      </w:r>
      <w:r>
        <w:t xml:space="preserve"> — a superioridade da retatrutida deriva de comparação entre estudos, não head-to-head. A superioridade tirzepatida &gt; semaglutida, essa sim, tem suporte de ensaio direto. 4. </w:t>
      </w:r>
      <w:r>
        <w:rPr>
          <w:b/>
        </w:rPr>
        <w:t xml:space="preserve">Qualidade de fontes</w:t>
      </w:r>
      <w:r>
        <w:t xml:space="preserve"> — a comparação incretina apoia-se parcialmente em periódico de menor camada (Cureus); um claim correlato foi </w:t>
      </w:r>
      <w:r>
        <w:rPr>
          <w:b/>
        </w:rPr>
        <w:t xml:space="preserve">refutado</w:t>
      </w:r>
      <w:r>
        <w:t xml:space="preserve"> na verificação. 5. </w:t>
      </w:r>
      <w:r>
        <w:rPr>
          <w:b/>
        </w:rPr>
        <w:t xml:space="preserve">Percentuais variam</w:t>
      </w:r>
      <w:r>
        <w:t xml:space="preserve"> conforme dose e população do ensaio (obesidade geral vs. diabetes vs. osteoartrite) — não são intercambiáveis. 6. </w:t>
      </w:r>
      <w:r>
        <w:rPr>
          <w:b/>
        </w:rPr>
        <w:t xml:space="preserve">Não substitui avaliação médica</w:t>
      </w:r>
      <w:r>
        <w:t xml:space="preserve"> — decisões sobre obesidade devem ser individualizadas, conduzidas por profissional habilitado e restritas a fármacos aprovados.</w:t>
      </w:r>
    </w:p>
    <w:p>
      <w:pPr>
        <w:pStyle w:val="Heading2"/>
        <w:spacing w:after="120"/>
      </w:pPr>
      <w:r>
        <w:t xml:space="preserve">Perguntas em aberto</w:t>
      </w:r>
    </w:p>
    <w:p>
      <w:pPr>
        <w:numPr>
          <w:ilvl w:val="0"/>
          <w:numId w:val="1"/>
        </w:numPr>
        <w:spacing w:after="60"/>
      </w:pPr>
      <w:r>
        <w:t xml:space="preserve">Qual o perfil definitivo de eficácia/segurança após a publicação completa (revisada por pares) dos ensaios de fase 3, e como se comparará à tirzepatida em estudo direto?</w:t>
      </w:r>
    </w:p>
    <w:p>
      <w:pPr>
        <w:numPr>
          <w:ilvl w:val="0"/>
          <w:numId w:val="1"/>
        </w:numPr>
        <w:spacing w:after="60"/>
      </w:pPr>
      <w:r>
        <w:t xml:space="preserve">Há sinais de segurança de longo prazo específicos do componente glucagon?</w:t>
      </w:r>
    </w:p>
    <w:p>
      <w:pPr>
        <w:numPr>
          <w:ilvl w:val="0"/>
          <w:numId w:val="1"/>
        </w:numPr>
        <w:spacing w:after="60"/>
      </w:pPr>
      <w:r>
        <w:t xml:space="preserve">Quais serão as contraindicações formais e populações de risco na bula, se/quando aprovada?</w:t>
      </w:r>
    </w:p>
    <w:p>
      <w:pPr>
        <w:numPr>
          <w:ilvl w:val="0"/>
          <w:numId w:val="1"/>
        </w:numPr>
        <w:spacing w:after="60"/>
      </w:pPr>
      <w:r>
        <w:t xml:space="preserve">Qual o cronograma realista de submissão e aprovação pela ANVISA no Brasil?</w:t>
      </w:r>
    </w:p>
    <w:p>
      <w:pPr>
        <w:pStyle w:val="Heading2"/>
        <w:spacing w:after="120"/>
      </w:pPr>
      <w:r>
        <w:t xml:space="preserve">Afirmação refutada na verificação</w:t>
      </w:r>
    </w:p>
    <w:p>
      <w:pPr>
        <w:numPr>
          <w:ilvl w:val="0"/>
          <w:numId w:val="1"/>
        </w:numPr>
        <w:spacing w:after="60"/>
      </w:pPr>
      <w:r>
        <w:t xml:space="preserve">"Aos seis meses, a tirzepatida alcançou redução de peso significativamente maior que a semaglutida (diferença média 1,33; IC 95% 0,58–2,08)" — </w:t>
      </w:r>
      <w:r>
        <w:rPr>
          <w:b/>
        </w:rPr>
        <w:t xml:space="preserve">refutada</w:t>
      </w:r>
      <w:r>
        <w:t xml:space="preserve"> (votação 1-2), fonte de baixa confiabilidade (Cureus / PMC12263181).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spacing w:after="120"/>
      </w:pPr>
      <w:r>
        <w:t xml:space="preserve">FAQ — Perguntas frequentes e mal-entendidos comuns</w:t>
      </w:r>
    </w:p>
    <w:p>
      <w:pPr>
        <w:spacing w:after="120"/>
      </w:pPr>
      <w:r>
        <w:rPr>
          <w:b/>
        </w:rPr>
        <w:t xml:space="preserve">1) Quanto de cada agonista (GIP, GLP-1, glucagon) tem numa dose de retatrutida?</w:t>
      </w:r>
      <w:r>
        <w:t xml:space="preserve"> Nenhuma quantidade separada — essa pergunta parte de um engano. A retatrutida é </w:t>
      </w:r>
      <w:r>
        <w:rPr>
          <w:b/>
        </w:rPr>
        <w:t xml:space="preserve">uma única molécula</w:t>
      </w:r>
      <w:r>
        <w:t xml:space="preserve"> (peptídeo de 39 aminoácidos), </w:t>
      </w:r>
      <w:r>
        <w:rPr>
          <w:b/>
        </w:rPr>
        <w:t xml:space="preserve">não uma mistura</w:t>
      </w:r>
      <w:r>
        <w:t xml:space="preserve">. Uma dose de "12 mg" é 12 mg da molécula inteira. O que muda entre os três receptores não é a *quantidade*, e sim a </w:t>
      </w:r>
      <w:r>
        <w:rPr>
          <w:b/>
        </w:rPr>
        <w:t xml:space="preserve">potência</w:t>
      </w:r>
      <w:r>
        <w:t xml:space="preserve"> com que a mesma molécula ativa cada um (mais potente no GIP, depois GLP-1, depois glucagon). Ver seção </w:t>
      </w:r>
      <w:r>
        <w:rPr>
          <w:b/>
        </w:rPr>
        <w:t xml:space="preserve">1.1</w:t>
      </w:r>
      <w:r>
        <w:t xml:space="preserve">.</w:t>
      </w:r>
    </w:p>
    <w:p>
      <w:pPr>
        <w:spacing w:after="120"/>
      </w:pPr>
      <w:r>
        <w:rPr>
          <w:b/>
        </w:rPr>
        <w:t xml:space="preserve">2) São agonistas ou antagonistas?</w:t>
      </w:r>
      <w:r>
        <w:t xml:space="preserve"> </w:t>
      </w:r>
      <w:r>
        <w:rPr>
          <w:b/>
        </w:rPr>
        <w:t xml:space="preserve">Agonistas</w:t>
      </w:r>
      <w:r>
        <w:t xml:space="preserve"> — eles *ativam* os receptores. *Antagonista* seria o contrário (bloquear). A retatrutida ativa os receptores de GIP, GLP-1 e glucagon.</w:t>
      </w:r>
    </w:p>
    <w:p>
      <w:pPr>
        <w:spacing w:after="120"/>
      </w:pPr>
      <w:r>
        <w:rPr>
          <w:b/>
        </w:rPr>
        <w:t xml:space="preserve">3) Quanto de "GLP-1" tem numa dose de retatrutida, comparado aos 1,7 mg do Wegovy?</w:t>
      </w:r>
      <w:r>
        <w:t xml:space="preserve"> Não dá para converter, e o motivo é importante:</w:t>
      </w:r>
    </w:p>
    <w:p>
      <w:pPr>
        <w:numPr>
          <w:ilvl w:val="0"/>
          <w:numId w:val="1"/>
        </w:numPr>
        <w:spacing w:after="60"/>
      </w:pPr>
      <w:r>
        <w:t xml:space="preserve">A retatrutida </w:t>
      </w:r>
      <w:r>
        <w:rPr>
          <w:b/>
        </w:rPr>
        <w:t xml:space="preserve">não contém GLP-1</w:t>
      </w:r>
      <w:r>
        <w:t xml:space="preserve"> dentro dela — ela apenas *age no receptor* de GLP-1.</w:t>
      </w:r>
    </w:p>
    <w:p>
      <w:pPr>
        <w:numPr>
          <w:ilvl w:val="0"/>
          <w:numId w:val="1"/>
        </w:numPr>
        <w:spacing w:after="60"/>
      </w:pPr>
      <w:r>
        <w:t xml:space="preserve">O Wegovy </w:t>
      </w:r>
      <w:r>
        <w:rPr>
          <w:b/>
        </w:rPr>
        <w:t xml:space="preserve">também não é GLP-1</w:t>
      </w:r>
      <w:r>
        <w:t xml:space="preserve">: é </w:t>
      </w:r>
      <w:r>
        <w:rPr>
          <w:b/>
        </w:rPr>
        <w:t xml:space="preserve">semaglutida</w:t>
      </w:r>
      <w:r>
        <w:t xml:space="preserve">, outra molécula que age no mesmo receptor. Os 1,7 mg são de semaglutida.</w:t>
      </w:r>
    </w:p>
    <w:p>
      <w:pPr>
        <w:numPr>
          <w:ilvl w:val="0"/>
          <w:numId w:val="1"/>
        </w:numPr>
        <w:spacing w:after="60"/>
      </w:pPr>
      <w:r>
        <w:t xml:space="preserve">São </w:t>
      </w:r>
      <w:r>
        <w:rPr>
          <w:b/>
        </w:rPr>
        <w:t xml:space="preserve">moléculas diferentes</w:t>
      </w:r>
      <w:r>
        <w:t xml:space="preserve">, cada uma medida em mg </w:t>
      </w:r>
      <w:r>
        <w:rPr>
          <w:b/>
        </w:rPr>
        <w:t xml:space="preserve">dela mesma</w:t>
      </w:r>
      <w:r>
        <w:t xml:space="preserve">, com </w:t>
      </w:r>
      <w:r>
        <w:rPr>
          <w:b/>
        </w:rPr>
        <w:t xml:space="preserve">pesos moleculares e potências diferentes</w:t>
      </w:r>
      <w:r>
        <w:t xml:space="preserve">. Comparar "mg de uma" com "mg da outra" não tem sentido químico.</w:t>
      </w:r>
    </w:p>
    <w:p>
      <w:pPr>
        <w:numPr>
          <w:ilvl w:val="0"/>
          <w:numId w:val="1"/>
        </w:numPr>
        <w:spacing w:after="60"/>
      </w:pPr>
      <w:r>
        <w:t xml:space="preserve">Mais mg de retatrutida </w:t>
      </w:r>
      <w:r>
        <w:rPr>
          <w:b/>
        </w:rPr>
        <w:t xml:space="preserve">não</w:t>
      </w:r>
      <w:r>
        <w:t xml:space="preserve"> significa "mais GLP-1": a maior perda de peso vem da </w:t>
      </w:r>
      <w:r>
        <w:rPr>
          <w:b/>
        </w:rPr>
        <w:t xml:space="preserve">combinação dos três mecanismos</w:t>
      </w:r>
      <w:r>
        <w:t xml:space="preserve"> + maior potência, não de conter mais GLP-1.</w:t>
      </w:r>
    </w:p>
    <w:tbl>
      <w:tblPr>
        <w:tblStyle w:val="TableGrid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 w:val="0420"/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/>
            </w:r>
          </w:p>
        </w:tc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Molécula</w:t>
            </w:r>
          </w:p>
        </w:tc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Alvos</w:t>
            </w:r>
          </w:p>
        </w:tc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Doses (mg/sem)</w:t>
            </w:r>
          </w:p>
        </w:tc>
        <w:tc>
          <w:tcPr>
            <w:shd w:val="clear" w:fill="4472C4"/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Perda de peso típica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Wegovy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semaglutida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GLP-1 (1)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0,25 → 0,5 → 1,0 → </w:t>
            </w:r>
            <w:r>
              <w:rPr>
                <w:b/>
              </w:rPr>
              <w:t xml:space="preserve">1,7</w:t>
            </w:r>
            <w:r>
              <w:t xml:space="preserve"> → 2,4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~15% (2,4 mg)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Retatrutida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retatrutida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GIP+GLP-1+glucagon (3)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2 → 4 → 6 → 9 → 12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spacing w:after="0"/>
              <w:jc w:val="left"/>
            </w:pPr>
            <w:r>
              <w:t xml:space="preserve">~24–28% (ensaios)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(Obs.: 1,7 mg de Wegovy é dose </w:t>
      </w:r>
      <w:r>
        <w:rPr>
          <w:b/>
        </w:rPr>
        <w:t xml:space="preserve">intermediária</w:t>
      </w:r>
      <w:r>
        <w:t xml:space="preserve">; a manutenção-alvo é 2,4 mg.)</w:t>
      </w:r>
    </w:p>
    <w:p>
      <w:pPr>
        <w:spacing w:after="120"/>
      </w:pPr>
      <w:r>
        <w:rPr>
          <w:b/>
        </w:rPr>
        <w:t xml:space="preserve">4) Qual a dose recomendada da retatrutida?</w:t>
      </w:r>
      <w:r>
        <w:t xml:space="preserve"> </w:t>
      </w:r>
      <w:r>
        <w:rPr>
          <w:b/>
        </w:rPr>
        <w:t xml:space="preserve">Não existe dose recomendada oficial nem bula</w:t>
      </w:r>
      <w:r>
        <w:t xml:space="preserve"> — o fármaco não é aprovado. Os únicos esquemas conhecidos são os dos ensaios (início em 2 mg/semana, subindo a cada 4 semanas até 4, 9 ou 12 mg). A dose de qualquer emagrecedor injetável deve ser definida </w:t>
      </w:r>
      <w:r>
        <w:rPr>
          <w:b/>
        </w:rPr>
        <w:t xml:space="preserve">por um médico</w:t>
      </w:r>
      <w:r>
        <w:t xml:space="preserve">, individualmente.</w:t>
      </w:r>
    </w:p>
    <w:p>
      <w:pPr>
        <w:spacing w:after="120"/>
      </w:pPr>
      <w:r>
        <w:rPr>
          <w:b/>
        </w:rPr>
        <w:t xml:space="preserve">5) Posso comprar/usar retatrutida hoje no Brasil?</w:t>
      </w:r>
      <w:r>
        <w:t xml:space="preserve"> </w:t>
      </w:r>
      <w:r>
        <w:rPr>
          <w:b/>
        </w:rPr>
        <w:t xml:space="preserve">Não.</w:t>
      </w:r>
      <w:r>
        <w:t xml:space="preserve"> É proibida pela ANVISA (Resolução-RE nº 214/2026): sem registro, sem comercialização, importação ou uso. Produtos clandestinos (manipulados, "fracionados", de origem desconhecida) </w:t>
      </w:r>
      <w:r>
        <w:rPr>
          <w:b/>
        </w:rPr>
        <w:t xml:space="preserve">não têm garantia de dose, pureza ou esterilidade</w:t>
      </w:r>
      <w:r>
        <w:t xml:space="preserve"> e representam risco sério à saúde. Ver seção </w:t>
      </w:r>
      <w:r>
        <w:rPr>
          <w:b/>
        </w:rPr>
        <w:t xml:space="preserve">6</w:t>
      </w:r>
      <w:r>
        <w:t xml:space="preserve">.</w:t>
      </w:r>
    </w:p>
    <w:p>
      <w:pPr>
        <w:spacing w:after="120"/>
      </w:pPr>
      <w:r>
        <w:rPr>
          <w:b/>
        </w:rPr>
        <w:t xml:space="preserve">6) A retatrutida é melhor que Ozempic/Wegovy e Mounjaro?</w:t>
      </w:r>
      <w:r>
        <w:t xml:space="preserve"> Nos ensaios ela teve os </w:t>
      </w:r>
      <w:r>
        <w:rPr>
          <w:b/>
        </w:rPr>
        <w:t xml:space="preserve">maiores percentuais de perda de peso</w:t>
      </w:r>
      <w:r>
        <w:t xml:space="preserve"> já relatados — porém em comparação </w:t>
      </w:r>
      <w:r>
        <w:rPr>
          <w:b/>
        </w:rPr>
        <w:t xml:space="preserve">indireta</w:t>
      </w:r>
      <w:r>
        <w:t xml:space="preserve"> (entre estudos distintos), não cara a cara, e com dados de fase 3 ainda </w:t>
      </w:r>
      <w:r>
        <w:rPr>
          <w:b/>
        </w:rPr>
        <w:t xml:space="preserve">preliminares</w:t>
      </w:r>
      <w:r>
        <w:t xml:space="preserve"> (*topline*). Entre os já aprovados, há evidência direta de que a </w:t>
      </w:r>
      <w:r>
        <w:rPr>
          <w:b/>
        </w:rPr>
        <w:t xml:space="preserve">tirzepatida supera a semaglutida</w:t>
      </w:r>
      <w:r>
        <w:t xml:space="preserve">. Ver seções </w:t>
      </w:r>
      <w:r>
        <w:rPr>
          <w:b/>
        </w:rPr>
        <w:t xml:space="preserve">3</w:t>
      </w:r>
      <w:r>
        <w:t xml:space="preserve"> e </w:t>
      </w:r>
      <w:r>
        <w:rPr>
          <w:b/>
        </w:rPr>
        <w:t xml:space="preserve">5</w:t>
      </w:r>
      <w:r>
        <w:t xml:space="preserve">.</w:t>
      </w:r>
    </w:p>
    <w:p>
      <w:pPr>
        <w:spacing w:after="120"/>
      </w:pPr>
      <w:r>
        <w:rPr>
          <w:b/>
        </w:rPr>
        <w:t xml:space="preserve">7) Este dossiê substitui a orientação de um médico?</w:t>
      </w:r>
      <w:r>
        <w:t xml:space="preserve"> Não. É material </w:t>
      </w:r>
      <w:r>
        <w:rPr>
          <w:b/>
        </w:rPr>
        <w:t xml:space="preserve">informativo</w:t>
      </w:r>
      <w:r>
        <w:t xml:space="preserve"> para você chegar bem-informado à consulta. Decisões sobre tratamento de sobrepeso/obesidade devem ser individualizadas, conduzidas por profissional habilitado e restritas a fármacos aprovados.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spacing w:after="120"/>
      </w:pPr>
      <w:r>
        <w:t xml:space="preserve">Fontes principais</w:t>
      </w:r>
    </w:p>
    <w:p>
      <w:pPr>
        <w:spacing w:after="120"/>
      </w:pPr>
      <w:r>
        <w:rPr>
          <w:b/>
        </w:rPr>
        <w:t xml:space="preserve">Primárias / revisadas por pares</w:t>
      </w:r>
    </w:p>
    <w:p>
      <w:pPr>
        <w:numPr>
          <w:ilvl w:val="0"/>
          <w:numId w:val="1"/>
        </w:numPr>
        <w:spacing w:after="60"/>
      </w:pPr>
      <w:r>
        <w:t xml:space="preserve">NEJM — Jastreboff et al., *Triple–Hormone-Receptor Agonist Retatrutide for Obesity* (NEJMoa2301972) — https://www.nejm.org/doi/full/10.1056/NEJMoa2301972</w:t>
      </w:r>
    </w:p>
    <w:p>
      <w:pPr>
        <w:numPr>
          <w:ilvl w:val="0"/>
          <w:numId w:val="1"/>
        </w:numPr>
        <w:spacing w:after="60"/>
      </w:pPr>
      <w:r>
        <w:t xml:space="preserve">Meta-análise (3 ECRs) — PMC12026077 — https://pmc.ncbi.nlm.nih.gov/articles/PMC12026077/</w:t>
      </w:r>
    </w:p>
    <w:p>
      <w:pPr>
        <w:numPr>
          <w:ilvl w:val="0"/>
          <w:numId w:val="1"/>
        </w:numPr>
        <w:spacing w:after="60"/>
      </w:pPr>
      <w:r>
        <w:t xml:space="preserve">Meta-análises comparativas — PMC12263181, PMC12120964</w:t>
      </w:r>
    </w:p>
    <w:p>
      <w:pPr>
        <w:spacing w:after="120"/>
      </w:pPr>
      <w:r>
        <w:rPr>
          <w:b/>
        </w:rPr>
        <w:t xml:space="preserve">Fabricante (dados topline)</w:t>
      </w:r>
    </w:p>
    <w:p>
      <w:pPr>
        <w:numPr>
          <w:ilvl w:val="0"/>
          <w:numId w:val="1"/>
        </w:numPr>
        <w:spacing w:after="60"/>
      </w:pPr>
      <w:r>
        <w:t xml:space="preserve">Eli Lilly / PRNewswire — TRIUMPH-1: https://www.prnewswire.com/news-releases/lillys-triple-agonist-retatrutide-delivered-powerful-weight-loss-in-pivotal-phase-3-obesity-trial-302778859.html</w:t>
      </w:r>
    </w:p>
    <w:p>
      <w:pPr>
        <w:numPr>
          <w:ilvl w:val="0"/>
          <w:numId w:val="1"/>
        </w:numPr>
        <w:spacing w:after="60"/>
      </w:pPr>
      <w:r>
        <w:t xml:space="preserve">Eli Lilly / PRNewswire — TRIUMPH-4: https://www.prnewswire.com/news-releases/lillys-triple-agonist-retatrutide-delivered-weight-loss-of-up-to-an-average-of-71-2-lbs-along-with-substantial-relief-from-osteoarthritis-pain-in-first-successful-phase-3-trial-302638804.html</w:t>
      </w:r>
    </w:p>
    <w:p>
      <w:pPr>
        <w:numPr>
          <w:ilvl w:val="0"/>
          <w:numId w:val="1"/>
        </w:numPr>
        <w:spacing w:after="60"/>
      </w:pPr>
      <w:r>
        <w:t xml:space="preserve">Eli Lilly Investor — fase 2 no NEJM: https://investor.lilly.com/news-releases/news-release-details/lillys-phase-2-retatrutide-results-published-new-england-journal</w:t>
      </w:r>
    </w:p>
    <w:p>
      <w:pPr>
        <w:spacing w:after="120"/>
      </w:pPr>
      <w:r>
        <w:rPr>
          <w:b/>
        </w:rPr>
        <w:t xml:space="preserve">Oficiais — Brasil</w:t>
      </w:r>
    </w:p>
    <w:p>
      <w:pPr>
        <w:numPr>
          <w:ilvl w:val="0"/>
          <w:numId w:val="1"/>
        </w:numPr>
        <w:spacing w:after="60"/>
      </w:pPr>
      <w:r>
        <w:t xml:space="preserve">ANVISA — combate ao comércio ilegal: https://www.gov.br/anvisa/pt-br/assuntos/noticias-anvisa/2026/anvisa-e-policia-federal-combatem-comercio-ilegal-de-medicamentos-para-emagrecimento</w:t>
      </w:r>
    </w:p>
    <w:p>
      <w:pPr>
        <w:numPr>
          <w:ilvl w:val="0"/>
          <w:numId w:val="1"/>
        </w:numPr>
        <w:spacing w:after="60"/>
      </w:pPr>
      <w:r>
        <w:t xml:space="preserve">Vigilância Sanitária SC — Alerta DIVS nº 03/2026: https://www.vigilanciasanitaria.sc.gov.br/index.php/component/content/article/alerta-divs-n-03-2026-riscos-a-saude-provenientes-do-uso-de-medicamentos-emagrecedores-a-base-de-tirzepatida-e-retatrutida.html</w:t>
      </w:r>
    </w:p>
    <w:p>
      <w:pPr>
        <w:spacing w:after="120"/>
      </w:pPr>
      <w:r>
        <w:rPr>
          <w:b/>
        </w:rPr>
        <w:t xml:space="preserve">Secundárias (cobertura médica)</w:t>
      </w:r>
    </w:p>
    <w:p>
      <w:pPr>
        <w:numPr>
          <w:ilvl w:val="0"/>
          <w:numId w:val="1"/>
        </w:numPr>
        <w:spacing w:after="60"/>
      </w:pPr>
      <w:r>
        <w:t xml:space="preserve">PharmExec, Pharmacy Times, Pharmaceutical Journal, TheNNT, CNN Brasil, ICTQ, CRM-PB</w:t>
      </w:r>
    </w:p>
    <w:sectPr>
      <w:pgSz w:w="12240" w:h="15840"/>
      <w:pgMar w:top="1440" w:right="1080" w:bottom="144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120"/>
      <w:outlineLvl w:val="0"/>
    </w:pPr>
    <w:rPr>
      <w:rFonts w:asciiTheme="majorHAnsi" w:hAnsiTheme="majorHAnsi"/>
      <w:b/>
      <w:color w:val="1F3864"/>
      <w:sz w:val="40"/>
    </w:rPr>
  </w:style>
  <w:style w:type="paragraph" w:styleId="Heading2">
    <w:name w:val="heading 2"/>
    <w:basedOn w:val="Normal"/>
    <w:pPr>
      <w:keepNext/>
      <w:spacing w:before="200" w:after="80"/>
      <w:outlineLvl w:val="1"/>
      <w:pBdr>
        <w:bottom w:val="single" w:sz="6" w:space="2" w:color="4472C4"/>
      </w:pBdr>
    </w:pPr>
    <w:rPr>
      <w:b/>
      <w:color w:val="2F5496"/>
      <w:sz w:val="30"/>
    </w:rPr>
  </w:style>
  <w:style w:type="paragraph" w:styleId="Heading3">
    <w:name w:val="heading 3"/>
    <w:basedOn w:val="Normal"/>
    <w:pPr>
      <w:keepNext/>
      <w:spacing w:before="160" w:after="60"/>
      <w:outlineLvl w:val="2"/>
    </w:pPr>
    <w:rPr>
      <w:b/>
      <w:color w:val="2F5496"/>
      <w:sz w:val="24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