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83CEE" w14:textId="710CB822" w:rsidR="009A7792" w:rsidRPr="00487C74" w:rsidRDefault="009A7792" w:rsidP="00487C74">
      <w:pPr>
        <w:jc w:val="center"/>
        <w:rPr>
          <w:rFonts w:ascii="Arial" w:hAnsi="Arial" w:cs="Arial"/>
          <w:sz w:val="36"/>
          <w:szCs w:val="36"/>
        </w:rPr>
      </w:pPr>
      <w:r w:rsidRPr="00487C74">
        <w:rPr>
          <w:rFonts w:ascii="Arial" w:hAnsi="Arial" w:cs="Arial"/>
          <w:sz w:val="36"/>
          <w:szCs w:val="36"/>
        </w:rPr>
        <w:t>¿Cómo lo hacen?</w:t>
      </w:r>
    </w:p>
    <w:p w14:paraId="0210B123" w14:textId="3FA163D6" w:rsidR="009A7792" w:rsidRPr="00487C74" w:rsidRDefault="009A7792" w:rsidP="00487C74">
      <w:pPr>
        <w:jc w:val="center"/>
        <w:rPr>
          <w:rFonts w:ascii="Arial" w:hAnsi="Arial" w:cs="Arial"/>
          <w:sz w:val="20"/>
          <w:szCs w:val="20"/>
        </w:rPr>
      </w:pPr>
      <w:r w:rsidRPr="00487C74">
        <w:rPr>
          <w:rFonts w:ascii="Arial" w:hAnsi="Arial" w:cs="Arial"/>
          <w:sz w:val="20"/>
          <w:szCs w:val="20"/>
        </w:rPr>
        <w:t>Carlos Cano espinosa</w:t>
      </w:r>
    </w:p>
    <w:p w14:paraId="577B6564" w14:textId="4C54B53D" w:rsidR="009A7792" w:rsidRPr="00487C74" w:rsidRDefault="009A7792" w:rsidP="00487C74">
      <w:pPr>
        <w:jc w:val="center"/>
        <w:rPr>
          <w:rFonts w:ascii="Arial" w:hAnsi="Arial" w:cs="Arial"/>
          <w:sz w:val="20"/>
          <w:szCs w:val="20"/>
        </w:rPr>
      </w:pPr>
      <w:r w:rsidRPr="00487C74">
        <w:rPr>
          <w:rFonts w:ascii="Arial" w:hAnsi="Arial" w:cs="Arial"/>
          <w:sz w:val="20"/>
          <w:szCs w:val="20"/>
        </w:rPr>
        <w:t>Mantenimiento y gestión del cambio en sistemas software</w:t>
      </w:r>
    </w:p>
    <w:p w14:paraId="1C6C7397" w14:textId="77777777" w:rsidR="009A7792" w:rsidRPr="00487C74" w:rsidRDefault="009A7792" w:rsidP="00487C74">
      <w:pPr>
        <w:jc w:val="both"/>
        <w:rPr>
          <w:rFonts w:ascii="Arial" w:hAnsi="Arial" w:cs="Arial"/>
          <w:sz w:val="20"/>
          <w:szCs w:val="20"/>
        </w:rPr>
      </w:pPr>
    </w:p>
    <w:p w14:paraId="1B1C2EAD" w14:textId="11B3EAA3" w:rsidR="009A7792" w:rsidRPr="00487C74" w:rsidRDefault="009A7792" w:rsidP="00487C74">
      <w:pPr>
        <w:jc w:val="both"/>
        <w:rPr>
          <w:rFonts w:ascii="Arial" w:hAnsi="Arial" w:cs="Arial"/>
          <w:sz w:val="20"/>
          <w:szCs w:val="20"/>
        </w:rPr>
      </w:pPr>
      <w:r w:rsidRPr="00487C74">
        <w:rPr>
          <w:rFonts w:ascii="Arial" w:hAnsi="Arial" w:cs="Arial"/>
          <w:sz w:val="20"/>
          <w:szCs w:val="20"/>
        </w:rPr>
        <w:t>El contrato elegido para hacer la tarea ha sido el sigu</w:t>
      </w:r>
      <w:r w:rsidR="0086150C" w:rsidRPr="00487C74">
        <w:rPr>
          <w:rFonts w:ascii="Arial" w:hAnsi="Arial" w:cs="Arial"/>
          <w:sz w:val="20"/>
          <w:szCs w:val="20"/>
        </w:rPr>
        <w:t>iente:</w:t>
      </w:r>
    </w:p>
    <w:p w14:paraId="6F0849CC" w14:textId="7C2D1711" w:rsidR="0086150C" w:rsidRPr="00487C74" w:rsidRDefault="0086150C" w:rsidP="00487C74">
      <w:pPr>
        <w:jc w:val="both"/>
        <w:rPr>
          <w:rFonts w:ascii="Arial" w:hAnsi="Arial" w:cs="Arial"/>
          <w:sz w:val="20"/>
          <w:szCs w:val="20"/>
        </w:rPr>
      </w:pPr>
      <w:r w:rsidRPr="00487C74">
        <w:rPr>
          <w:rFonts w:ascii="Arial" w:hAnsi="Arial" w:cs="Arial"/>
          <w:sz w:val="20"/>
          <w:szCs w:val="20"/>
        </w:rPr>
        <w:t xml:space="preserve">Número de expediente: </w:t>
      </w:r>
      <w:r w:rsidRPr="00487C74">
        <w:rPr>
          <w:rFonts w:ascii="Arial" w:hAnsi="Arial" w:cs="Arial"/>
          <w:sz w:val="20"/>
          <w:szCs w:val="20"/>
        </w:rPr>
        <w:t>2021/38</w:t>
      </w:r>
    </w:p>
    <w:p w14:paraId="0DEEEEC4" w14:textId="79DB98CF" w:rsidR="0086150C" w:rsidRPr="00487C74" w:rsidRDefault="0086150C" w:rsidP="00487C74">
      <w:pPr>
        <w:jc w:val="both"/>
        <w:rPr>
          <w:rFonts w:ascii="Arial" w:hAnsi="Arial" w:cs="Arial"/>
          <w:color w:val="202020"/>
          <w:sz w:val="20"/>
          <w:szCs w:val="20"/>
          <w:shd w:val="clear" w:color="auto" w:fill="FFFFFF"/>
        </w:rPr>
      </w:pPr>
      <w:r w:rsidRPr="00487C74">
        <w:rPr>
          <w:rFonts w:ascii="Arial" w:hAnsi="Arial" w:cs="Arial"/>
          <w:color w:val="202020"/>
          <w:sz w:val="20"/>
          <w:szCs w:val="20"/>
          <w:shd w:val="clear" w:color="auto" w:fill="FFFFFF"/>
        </w:rPr>
        <w:t>Órgano de contratación: Universidad de Jaén</w:t>
      </w:r>
    </w:p>
    <w:p w14:paraId="11E39D10" w14:textId="2A312EAB" w:rsidR="009A7792" w:rsidRPr="00487C74" w:rsidRDefault="0086150C" w:rsidP="00487C74">
      <w:pPr>
        <w:jc w:val="both"/>
        <w:rPr>
          <w:rFonts w:ascii="Arial" w:hAnsi="Arial" w:cs="Arial"/>
          <w:sz w:val="20"/>
          <w:szCs w:val="20"/>
        </w:rPr>
      </w:pPr>
      <w:r w:rsidRPr="00487C74">
        <w:rPr>
          <w:rFonts w:ascii="Arial" w:hAnsi="Arial" w:cs="Arial"/>
          <w:color w:val="202020"/>
          <w:sz w:val="20"/>
          <w:szCs w:val="20"/>
          <w:shd w:val="clear" w:color="auto" w:fill="FFFFFF"/>
        </w:rPr>
        <w:t>Objeto de contratación: C</w:t>
      </w:r>
      <w:r w:rsidRPr="00487C74">
        <w:rPr>
          <w:rFonts w:ascii="Arial" w:hAnsi="Arial" w:cs="Arial"/>
          <w:color w:val="202020"/>
          <w:sz w:val="20"/>
          <w:szCs w:val="20"/>
          <w:shd w:val="clear" w:color="auto" w:fill="FFFFFF"/>
        </w:rPr>
        <w:t>ontrato mixto para el suministro de un Sistema de Gestión del archivo físico y electrónico de la Universidad de Jaén y servicios asociados de mantenimiento, actualizaciones y soporte técnico</w:t>
      </w:r>
    </w:p>
    <w:p w14:paraId="1F58E469" w14:textId="77777777" w:rsidR="009A7792" w:rsidRPr="00487C74" w:rsidRDefault="009A7792" w:rsidP="00487C74">
      <w:pPr>
        <w:jc w:val="both"/>
        <w:rPr>
          <w:rFonts w:ascii="Arial" w:hAnsi="Arial" w:cs="Arial"/>
          <w:sz w:val="20"/>
          <w:szCs w:val="20"/>
        </w:rPr>
      </w:pPr>
    </w:p>
    <w:p w14:paraId="2C7BC77B" w14:textId="18748E88" w:rsidR="009F41B3" w:rsidRDefault="00F318C3" w:rsidP="00487C74">
      <w:pPr>
        <w:jc w:val="both"/>
        <w:rPr>
          <w:rFonts w:ascii="Arial" w:hAnsi="Arial" w:cs="Arial"/>
          <w:sz w:val="20"/>
          <w:szCs w:val="20"/>
        </w:rPr>
      </w:pPr>
      <w:r w:rsidRPr="00487C74">
        <w:rPr>
          <w:rFonts w:ascii="Arial" w:hAnsi="Arial" w:cs="Arial"/>
          <w:sz w:val="20"/>
          <w:szCs w:val="20"/>
        </w:rPr>
        <w:t>Contrato</w:t>
      </w:r>
      <w:r w:rsidR="0086150C" w:rsidRPr="00487C74">
        <w:rPr>
          <w:rFonts w:ascii="Arial" w:hAnsi="Arial" w:cs="Arial"/>
          <w:sz w:val="20"/>
          <w:szCs w:val="20"/>
        </w:rPr>
        <w:t>:</w:t>
      </w:r>
      <w:hyperlink r:id="rId4" w:history="1">
        <w:r w:rsidR="00487C74" w:rsidRPr="00FE6C28">
          <w:rPr>
            <w:rStyle w:val="Hipervnculo"/>
            <w:rFonts w:ascii="Arial" w:hAnsi="Arial" w:cs="Arial"/>
            <w:sz w:val="20"/>
            <w:szCs w:val="20"/>
          </w:rPr>
          <w:t>https://contrataciondelestado.es/wps/wcm</w:t>
        </w:r>
        <w:r w:rsidR="00487C74" w:rsidRPr="00FE6C28">
          <w:rPr>
            <w:rStyle w:val="Hipervnculo"/>
            <w:rFonts w:ascii="Arial" w:hAnsi="Arial" w:cs="Arial"/>
            <w:sz w:val="20"/>
            <w:szCs w:val="20"/>
          </w:rPr>
          <w:t>/</w:t>
        </w:r>
        <w:r w:rsidR="00487C74" w:rsidRPr="00FE6C28">
          <w:rPr>
            <w:rStyle w:val="Hipervnculo"/>
            <w:rFonts w:ascii="Arial" w:hAnsi="Arial" w:cs="Arial"/>
            <w:sz w:val="20"/>
            <w:szCs w:val="20"/>
          </w:rPr>
          <w:t>conn</w:t>
        </w:r>
        <w:r w:rsidR="00487C74" w:rsidRPr="00FE6C28">
          <w:rPr>
            <w:rStyle w:val="Hipervnculo"/>
            <w:rFonts w:ascii="Arial" w:hAnsi="Arial" w:cs="Arial"/>
            <w:sz w:val="20"/>
            <w:szCs w:val="20"/>
          </w:rPr>
          <w:t>e</w:t>
        </w:r>
        <w:r w:rsidR="00487C74" w:rsidRPr="00FE6C28">
          <w:rPr>
            <w:rStyle w:val="Hipervnculo"/>
            <w:rFonts w:ascii="Arial" w:hAnsi="Arial" w:cs="Arial"/>
            <w:sz w:val="20"/>
            <w:szCs w:val="20"/>
          </w:rPr>
          <w:t>ct/332b4a24-babc-4ac9-813c-7b717dbf1d32/DOC_CN2021-857830.pdf?MOD=AJPERES</w:t>
        </w:r>
      </w:hyperlink>
      <w:r w:rsidR="0086150C" w:rsidRPr="00487C74">
        <w:rPr>
          <w:rFonts w:ascii="Arial" w:hAnsi="Arial" w:cs="Arial"/>
          <w:sz w:val="20"/>
          <w:szCs w:val="20"/>
        </w:rPr>
        <w:t xml:space="preserve"> </w:t>
      </w:r>
    </w:p>
    <w:p w14:paraId="6A811A46" w14:textId="77777777" w:rsidR="00487C74" w:rsidRPr="00487C74" w:rsidRDefault="00487C74" w:rsidP="00487C74">
      <w:pPr>
        <w:jc w:val="both"/>
        <w:rPr>
          <w:rFonts w:ascii="Arial" w:hAnsi="Arial" w:cs="Arial"/>
          <w:sz w:val="20"/>
          <w:szCs w:val="20"/>
        </w:rPr>
      </w:pPr>
    </w:p>
    <w:p w14:paraId="760A2CE8" w14:textId="560B0F76" w:rsidR="00487C74" w:rsidRPr="00487C74" w:rsidRDefault="00487C74" w:rsidP="00487C74">
      <w:pPr>
        <w:jc w:val="both"/>
        <w:rPr>
          <w:rFonts w:ascii="Arial" w:hAnsi="Arial" w:cs="Arial"/>
          <w:sz w:val="20"/>
          <w:szCs w:val="20"/>
        </w:rPr>
      </w:pPr>
      <w:r w:rsidRPr="00487C74">
        <w:rPr>
          <w:rFonts w:ascii="Arial" w:hAnsi="Arial" w:cs="Arial"/>
          <w:sz w:val="20"/>
          <w:szCs w:val="20"/>
        </w:rPr>
        <w:t xml:space="preserve">En el documento del </w:t>
      </w:r>
      <w:r w:rsidRPr="00487C74">
        <w:rPr>
          <w:rFonts w:ascii="Arial" w:hAnsi="Arial" w:cs="Arial"/>
          <w:i/>
          <w:iCs/>
          <w:sz w:val="20"/>
          <w:szCs w:val="20"/>
        </w:rPr>
        <w:t>pliego de prescripciones técnicas</w:t>
      </w:r>
      <w:r w:rsidRPr="00487C74">
        <w:rPr>
          <w:rFonts w:ascii="Arial" w:hAnsi="Arial" w:cs="Arial"/>
          <w:sz w:val="20"/>
          <w:szCs w:val="20"/>
        </w:rPr>
        <w:t xml:space="preserve"> podemos observar en el apartado de </w:t>
      </w:r>
      <w:r w:rsidRPr="00487C74">
        <w:rPr>
          <w:rFonts w:ascii="Arial" w:hAnsi="Arial" w:cs="Arial"/>
          <w:i/>
          <w:iCs/>
          <w:sz w:val="20"/>
          <w:szCs w:val="20"/>
        </w:rPr>
        <w:t>Servicios de soporte y mantenimiento y acuerdos de nivel de servicio</w:t>
      </w:r>
      <w:r w:rsidRPr="00487C74">
        <w:rPr>
          <w:rFonts w:ascii="Arial" w:hAnsi="Arial" w:cs="Arial"/>
          <w:i/>
          <w:iCs/>
          <w:sz w:val="20"/>
          <w:szCs w:val="20"/>
        </w:rPr>
        <w:t xml:space="preserve"> </w:t>
      </w:r>
      <w:r w:rsidRPr="00487C74">
        <w:rPr>
          <w:rFonts w:ascii="Arial" w:hAnsi="Arial" w:cs="Arial"/>
          <w:sz w:val="20"/>
          <w:szCs w:val="20"/>
        </w:rPr>
        <w:t xml:space="preserve">podemos ver los </w:t>
      </w:r>
      <w:r w:rsidRPr="00487C74">
        <w:rPr>
          <w:rFonts w:ascii="Arial" w:hAnsi="Arial" w:cs="Arial"/>
          <w:sz w:val="20"/>
          <w:szCs w:val="20"/>
          <w:shd w:val="clear" w:color="auto" w:fill="FFFFFF"/>
        </w:rPr>
        <w:t>detalle</w:t>
      </w:r>
      <w:r w:rsidRPr="00487C74">
        <w:rPr>
          <w:rFonts w:ascii="Arial" w:hAnsi="Arial" w:cs="Arial"/>
          <w:sz w:val="20"/>
          <w:szCs w:val="20"/>
          <w:shd w:val="clear" w:color="auto" w:fill="FFFFFF"/>
        </w:rPr>
        <w:t xml:space="preserve">s de </w:t>
      </w:r>
      <w:r w:rsidRPr="00487C74">
        <w:rPr>
          <w:rFonts w:ascii="Arial" w:hAnsi="Arial" w:cs="Arial"/>
          <w:sz w:val="20"/>
          <w:szCs w:val="20"/>
          <w:shd w:val="clear" w:color="auto" w:fill="FFFFFF"/>
        </w:rPr>
        <w:t>toda la información sobre el mantenimiento</w:t>
      </w:r>
      <w:r>
        <w:rPr>
          <w:rFonts w:ascii="Arial" w:hAnsi="Arial" w:cs="Arial"/>
          <w:sz w:val="20"/>
          <w:szCs w:val="20"/>
          <w:shd w:val="clear" w:color="auto" w:fill="FFFFFF"/>
        </w:rPr>
        <w:t>.</w:t>
      </w:r>
    </w:p>
    <w:p w14:paraId="3CB71515" w14:textId="409E48C2" w:rsidR="00F318C3" w:rsidRPr="00487C74" w:rsidRDefault="009F41B3" w:rsidP="00487C74">
      <w:pPr>
        <w:jc w:val="both"/>
        <w:rPr>
          <w:rFonts w:ascii="Arial" w:hAnsi="Arial" w:cs="Arial"/>
          <w:sz w:val="20"/>
          <w:szCs w:val="20"/>
        </w:rPr>
      </w:pPr>
      <w:r w:rsidRPr="00487C74">
        <w:rPr>
          <w:rFonts w:ascii="Arial" w:hAnsi="Arial" w:cs="Arial"/>
          <w:i/>
          <w:iCs/>
          <w:sz w:val="20"/>
          <w:szCs w:val="20"/>
          <w:u w:val="single"/>
        </w:rPr>
        <w:t>Con respecto al Mantenimiento correctivo y el mantenimiento evolutivo indica</w:t>
      </w:r>
      <w:r w:rsidRPr="00487C74">
        <w:rPr>
          <w:rFonts w:ascii="Arial" w:hAnsi="Arial" w:cs="Arial"/>
          <w:sz w:val="20"/>
          <w:szCs w:val="20"/>
        </w:rPr>
        <w:t>: “El adjudicatario deberá realizar actualizaciones periódicas del sistema implantado, que incluirán tanto correcciones de errores generales detectados (mantenimiento correctivo) como mejoras funcionales (mantenimiento evolutivo), garantizando así que el producto esté siempre actualizado a la última versión disponible”</w:t>
      </w:r>
    </w:p>
    <w:p w14:paraId="5A8E9BE3" w14:textId="01383DED" w:rsidR="009F41B3" w:rsidRPr="00487C74" w:rsidRDefault="005A53DF" w:rsidP="00487C74">
      <w:pPr>
        <w:jc w:val="both"/>
        <w:rPr>
          <w:rFonts w:ascii="Arial" w:hAnsi="Arial" w:cs="Arial"/>
          <w:sz w:val="20"/>
          <w:szCs w:val="20"/>
        </w:rPr>
      </w:pPr>
      <w:r w:rsidRPr="00487C74">
        <w:rPr>
          <w:rFonts w:ascii="Arial" w:hAnsi="Arial" w:cs="Arial"/>
          <w:i/>
          <w:iCs/>
          <w:sz w:val="20"/>
          <w:szCs w:val="20"/>
          <w:u w:val="single"/>
          <w:shd w:val="clear" w:color="auto" w:fill="FFFFFF"/>
        </w:rPr>
        <w:t>Sobre el proceso indica que:</w:t>
      </w:r>
      <w:r w:rsidRPr="00487C74">
        <w:rPr>
          <w:rFonts w:ascii="Arial" w:hAnsi="Arial" w:cs="Arial"/>
          <w:sz w:val="20"/>
          <w:szCs w:val="20"/>
          <w:shd w:val="clear" w:color="auto" w:fill="FFFFFF"/>
        </w:rPr>
        <w:t xml:space="preserve"> </w:t>
      </w:r>
      <w:r w:rsidRPr="00487C74">
        <w:rPr>
          <w:rFonts w:ascii="Arial" w:hAnsi="Arial" w:cs="Arial"/>
          <w:sz w:val="20"/>
          <w:szCs w:val="20"/>
        </w:rPr>
        <w:t>“El adjudicatario pondrá a disposición de la Universidad un Portal Web que permita la creación, recepción y seguimiento de las incidencias o solicitudes que afecten al sistema, en modo 24*7. El servicio de atención al cliente se prestará todos los días laborables del calendario laboral de la UJA, desde las 8:30 h. hasta las 14:30 h., mediante diferentes canales: telefónico, correo electrónico y web.”</w:t>
      </w:r>
    </w:p>
    <w:p w14:paraId="33989FE9" w14:textId="4825878C" w:rsidR="005A53DF" w:rsidRPr="00487C74" w:rsidRDefault="005A53DF" w:rsidP="00487C74">
      <w:pPr>
        <w:jc w:val="both"/>
        <w:rPr>
          <w:rFonts w:ascii="Arial" w:hAnsi="Arial" w:cs="Arial"/>
          <w:sz w:val="20"/>
          <w:szCs w:val="20"/>
        </w:rPr>
      </w:pPr>
      <w:r w:rsidRPr="00487C74">
        <w:rPr>
          <w:rFonts w:ascii="Arial" w:hAnsi="Arial" w:cs="Arial"/>
          <w:i/>
          <w:iCs/>
          <w:sz w:val="20"/>
          <w:szCs w:val="20"/>
          <w:u w:val="single"/>
        </w:rPr>
        <w:t xml:space="preserve">La categorización de las incidencias </w:t>
      </w:r>
      <w:r w:rsidR="009A7792" w:rsidRPr="00487C74">
        <w:rPr>
          <w:rFonts w:ascii="Arial" w:hAnsi="Arial" w:cs="Arial"/>
          <w:i/>
          <w:iCs/>
          <w:sz w:val="20"/>
          <w:szCs w:val="20"/>
          <w:u w:val="single"/>
        </w:rPr>
        <w:t xml:space="preserve">indicada </w:t>
      </w:r>
      <w:r w:rsidRPr="00487C74">
        <w:rPr>
          <w:rFonts w:ascii="Arial" w:hAnsi="Arial" w:cs="Arial"/>
          <w:i/>
          <w:iCs/>
          <w:sz w:val="20"/>
          <w:szCs w:val="20"/>
          <w:u w:val="single"/>
        </w:rPr>
        <w:t>es la sigue</w:t>
      </w:r>
      <w:r w:rsidRPr="00487C74">
        <w:rPr>
          <w:rFonts w:ascii="Arial" w:hAnsi="Arial" w:cs="Arial"/>
          <w:sz w:val="20"/>
          <w:szCs w:val="20"/>
        </w:rPr>
        <w:t>:</w:t>
      </w:r>
    </w:p>
    <w:p w14:paraId="013B8E3B" w14:textId="03868489" w:rsidR="005A53DF" w:rsidRPr="00487C74" w:rsidRDefault="005A53DF" w:rsidP="00487C74">
      <w:pPr>
        <w:jc w:val="both"/>
        <w:rPr>
          <w:rFonts w:ascii="Arial" w:hAnsi="Arial" w:cs="Arial"/>
          <w:sz w:val="20"/>
          <w:szCs w:val="20"/>
        </w:rPr>
      </w:pPr>
      <w:r w:rsidRPr="00487C74">
        <w:rPr>
          <w:rFonts w:ascii="Arial" w:hAnsi="Arial" w:cs="Arial"/>
          <w:sz w:val="20"/>
          <w:szCs w:val="20"/>
        </w:rPr>
        <w:t xml:space="preserve">“● Críticas: tienen un carácter tal que no permiten desempeñar funciones primarias e indispensables del sistema e impiden la gestión básica. El tiempo máximo de resolución será inferior a 4 horas laborables. Si fuese necesario, el adjudicatario desplazaría al personal adecuado para solucionar estas incidencias sin coste para la Universidad. </w:t>
      </w:r>
    </w:p>
    <w:p w14:paraId="64CC2614" w14:textId="77777777" w:rsidR="005A53DF" w:rsidRPr="00487C74" w:rsidRDefault="005A53DF" w:rsidP="00487C74">
      <w:pPr>
        <w:jc w:val="both"/>
        <w:rPr>
          <w:rFonts w:ascii="Arial" w:hAnsi="Arial" w:cs="Arial"/>
          <w:sz w:val="20"/>
          <w:szCs w:val="20"/>
        </w:rPr>
      </w:pPr>
      <w:r w:rsidRPr="00487C74">
        <w:rPr>
          <w:rFonts w:ascii="Arial" w:hAnsi="Arial" w:cs="Arial"/>
          <w:sz w:val="20"/>
          <w:szCs w:val="20"/>
        </w:rPr>
        <w:t xml:space="preserve">● Urgentes: impiden realizar acciones secundarias en el sistema, si bien la gestión básica puede llevarse a cabo. Tiempo máximo de resolución: 12 horas laborables. </w:t>
      </w:r>
    </w:p>
    <w:p w14:paraId="06DDB366" w14:textId="77777777" w:rsidR="005A53DF" w:rsidRPr="00487C74" w:rsidRDefault="005A53DF" w:rsidP="00487C74">
      <w:pPr>
        <w:jc w:val="both"/>
        <w:rPr>
          <w:rFonts w:ascii="Arial" w:hAnsi="Arial" w:cs="Arial"/>
          <w:sz w:val="20"/>
          <w:szCs w:val="20"/>
        </w:rPr>
      </w:pPr>
      <w:r w:rsidRPr="00487C74">
        <w:rPr>
          <w:rFonts w:ascii="Arial" w:hAnsi="Arial" w:cs="Arial"/>
          <w:sz w:val="20"/>
          <w:szCs w:val="20"/>
        </w:rPr>
        <w:t xml:space="preserve">● Ordinarias: la carencia puede ser resuelta por medios alternativos. Tiempo máximo de resolución: 5 días laborables. </w:t>
      </w:r>
    </w:p>
    <w:p w14:paraId="0237FEBD" w14:textId="2124BE73" w:rsidR="005A53DF" w:rsidRPr="00487C74" w:rsidRDefault="005A53DF" w:rsidP="00487C74">
      <w:pPr>
        <w:jc w:val="both"/>
        <w:rPr>
          <w:rFonts w:ascii="Arial" w:hAnsi="Arial" w:cs="Arial"/>
          <w:sz w:val="20"/>
          <w:szCs w:val="20"/>
        </w:rPr>
      </w:pPr>
      <w:r w:rsidRPr="00487C74">
        <w:rPr>
          <w:rFonts w:ascii="Arial" w:hAnsi="Arial" w:cs="Arial"/>
          <w:sz w:val="20"/>
          <w:szCs w:val="20"/>
        </w:rPr>
        <w:t xml:space="preserve">● Leves: funcionalidades con grado bajo de importancia. Se incorporarán a la siguiente versión planificada del módulo al que pertenezca, siempre que se comuniquen con suficiente antelación para poder realizar el análisis, implementación, pruebas y documentación de </w:t>
      </w:r>
      <w:proofErr w:type="gramStart"/>
      <w:r w:rsidRPr="00487C74">
        <w:rPr>
          <w:rFonts w:ascii="Arial" w:hAnsi="Arial" w:cs="Arial"/>
          <w:sz w:val="20"/>
          <w:szCs w:val="20"/>
        </w:rPr>
        <w:t>las mismas</w:t>
      </w:r>
      <w:proofErr w:type="gramEnd"/>
      <w:r w:rsidRPr="00487C74">
        <w:rPr>
          <w:rFonts w:ascii="Arial" w:hAnsi="Arial" w:cs="Arial"/>
          <w:sz w:val="20"/>
          <w:szCs w:val="20"/>
        </w:rPr>
        <w:t>.”</w:t>
      </w:r>
    </w:p>
    <w:p w14:paraId="211F5C56" w14:textId="71A366A5" w:rsidR="005A53DF" w:rsidRPr="00487C74" w:rsidRDefault="005A53DF" w:rsidP="00487C74">
      <w:pPr>
        <w:jc w:val="both"/>
        <w:rPr>
          <w:rFonts w:ascii="Arial" w:hAnsi="Arial" w:cs="Arial"/>
          <w:sz w:val="20"/>
          <w:szCs w:val="20"/>
        </w:rPr>
      </w:pPr>
      <w:r w:rsidRPr="00487C74">
        <w:rPr>
          <w:rFonts w:ascii="Arial" w:hAnsi="Arial" w:cs="Arial"/>
          <w:i/>
          <w:iCs/>
          <w:sz w:val="20"/>
          <w:szCs w:val="20"/>
          <w:u w:val="single"/>
        </w:rPr>
        <w:t>Para la realización del mantenimiento se tendrá en cuenta</w:t>
      </w:r>
      <w:r w:rsidR="009A7792" w:rsidRPr="00487C74">
        <w:rPr>
          <w:rFonts w:ascii="Arial" w:hAnsi="Arial" w:cs="Arial"/>
          <w:i/>
          <w:iCs/>
          <w:sz w:val="20"/>
          <w:szCs w:val="20"/>
          <w:u w:val="single"/>
        </w:rPr>
        <w:t xml:space="preserve"> lo siguiente</w:t>
      </w:r>
      <w:r w:rsidRPr="00487C74">
        <w:rPr>
          <w:rFonts w:ascii="Arial" w:hAnsi="Arial" w:cs="Arial"/>
          <w:sz w:val="20"/>
          <w:szCs w:val="20"/>
        </w:rPr>
        <w:t xml:space="preserve">: “Las paradas programadas del servicio para estas actuaciones serán comunicadas a la UJA, como mínimo, con 2 días de antelación y requerirán la aprobación de </w:t>
      </w:r>
      <w:proofErr w:type="gramStart"/>
      <w:r w:rsidRPr="00487C74">
        <w:rPr>
          <w:rFonts w:ascii="Arial" w:hAnsi="Arial" w:cs="Arial"/>
          <w:sz w:val="20"/>
          <w:szCs w:val="20"/>
        </w:rPr>
        <w:t>la misma</w:t>
      </w:r>
      <w:proofErr w:type="gramEnd"/>
      <w:r w:rsidRPr="00487C74">
        <w:rPr>
          <w:rFonts w:ascii="Arial" w:hAnsi="Arial" w:cs="Arial"/>
          <w:sz w:val="20"/>
          <w:szCs w:val="20"/>
        </w:rPr>
        <w:t xml:space="preserve"> para su realización. Dichas paradas se programarán en horario no laboral y preferentemente nocturno, debiendo justificar la </w:t>
      </w:r>
      <w:r w:rsidRPr="00487C74">
        <w:rPr>
          <w:rFonts w:ascii="Arial" w:hAnsi="Arial" w:cs="Arial"/>
          <w:sz w:val="20"/>
          <w:szCs w:val="20"/>
        </w:rPr>
        <w:lastRenderedPageBreak/>
        <w:t>necesidad que, en su caso, obligue a la realización de una parada en horario laboral. Así mismo se deberá prever una política de mantenimiento durante toda la vida útil del producto.”</w:t>
      </w:r>
    </w:p>
    <w:p w14:paraId="497F2313" w14:textId="77777777" w:rsidR="005A53DF" w:rsidRPr="00487C74" w:rsidRDefault="005A53DF" w:rsidP="00487C74">
      <w:pPr>
        <w:jc w:val="both"/>
        <w:rPr>
          <w:rFonts w:ascii="Arial" w:hAnsi="Arial" w:cs="Arial"/>
          <w:sz w:val="20"/>
          <w:szCs w:val="20"/>
        </w:rPr>
      </w:pPr>
      <w:r w:rsidRPr="00487C74">
        <w:rPr>
          <w:rFonts w:ascii="Arial" w:hAnsi="Arial" w:cs="Arial"/>
          <w:i/>
          <w:iCs/>
          <w:sz w:val="20"/>
          <w:szCs w:val="20"/>
          <w:u w:val="single"/>
        </w:rPr>
        <w:t>Respecto a las penalizaciones que podrían tener:</w:t>
      </w:r>
      <w:r w:rsidRPr="00487C74">
        <w:rPr>
          <w:rFonts w:ascii="Arial" w:hAnsi="Arial" w:cs="Arial"/>
          <w:sz w:val="20"/>
          <w:szCs w:val="20"/>
        </w:rPr>
        <w:t xml:space="preserve"> “Se establecen las siguientes penalizaciones por incumplimiento en el nivel de servicios del mantenimiento de manera proporcional a la gravedad de la incidencia, según la tabla siguiente: </w:t>
      </w:r>
    </w:p>
    <w:p w14:paraId="73262D5D" w14:textId="77777777" w:rsidR="005A53DF" w:rsidRPr="00487C74" w:rsidRDefault="005A53DF" w:rsidP="00487C74">
      <w:pPr>
        <w:jc w:val="both"/>
        <w:rPr>
          <w:rFonts w:ascii="Arial" w:hAnsi="Arial" w:cs="Arial"/>
          <w:sz w:val="20"/>
          <w:szCs w:val="20"/>
        </w:rPr>
      </w:pPr>
      <w:r w:rsidRPr="00487C74">
        <w:rPr>
          <w:rFonts w:ascii="Arial" w:hAnsi="Arial" w:cs="Arial"/>
          <w:sz w:val="20"/>
          <w:szCs w:val="20"/>
        </w:rPr>
        <w:t xml:space="preserve">- Incidencia crítica: 200,00 euros. </w:t>
      </w:r>
    </w:p>
    <w:p w14:paraId="1EF8600A" w14:textId="77777777" w:rsidR="005A53DF" w:rsidRPr="00487C74" w:rsidRDefault="005A53DF" w:rsidP="00487C74">
      <w:pPr>
        <w:jc w:val="both"/>
        <w:rPr>
          <w:rFonts w:ascii="Arial" w:hAnsi="Arial" w:cs="Arial"/>
          <w:sz w:val="20"/>
          <w:szCs w:val="20"/>
        </w:rPr>
      </w:pPr>
      <w:r w:rsidRPr="00487C74">
        <w:rPr>
          <w:rFonts w:ascii="Arial" w:hAnsi="Arial" w:cs="Arial"/>
          <w:sz w:val="20"/>
          <w:szCs w:val="20"/>
        </w:rPr>
        <w:t xml:space="preserve">- Incidencia urgente: 100,00 euros. </w:t>
      </w:r>
    </w:p>
    <w:p w14:paraId="1C170CBD" w14:textId="1AD60CE4" w:rsidR="00F318C3" w:rsidRPr="00487C74" w:rsidRDefault="005A53DF" w:rsidP="00487C74">
      <w:pPr>
        <w:jc w:val="both"/>
        <w:rPr>
          <w:rFonts w:ascii="Arial" w:hAnsi="Arial" w:cs="Arial"/>
          <w:sz w:val="20"/>
          <w:szCs w:val="20"/>
        </w:rPr>
      </w:pPr>
      <w:r w:rsidRPr="00487C74">
        <w:rPr>
          <w:rFonts w:ascii="Arial" w:hAnsi="Arial" w:cs="Arial"/>
          <w:sz w:val="20"/>
          <w:szCs w:val="20"/>
        </w:rPr>
        <w:t xml:space="preserve">Inicialmente no se penalizarán las incidencias ordinarias y leves, salvo que se produzcan de forma reiterada. La acumulación de tres faltas ordinarias en el plazo de una semana se considerará como incidencia crítica y se penalizará como el mismo importe establecido para esta (200,00 euros). La acumulación de tres faltas leves en el plazo de una </w:t>
      </w:r>
      <w:proofErr w:type="gramStart"/>
      <w:r w:rsidRPr="00487C74">
        <w:rPr>
          <w:rFonts w:ascii="Arial" w:hAnsi="Arial" w:cs="Arial"/>
          <w:sz w:val="20"/>
          <w:szCs w:val="20"/>
        </w:rPr>
        <w:t>semana,</w:t>
      </w:r>
      <w:proofErr w:type="gramEnd"/>
      <w:r w:rsidRPr="00487C74">
        <w:rPr>
          <w:rFonts w:ascii="Arial" w:hAnsi="Arial" w:cs="Arial"/>
          <w:sz w:val="20"/>
          <w:szCs w:val="20"/>
        </w:rPr>
        <w:t xml:space="preserve"> se considerará como incidencia urgente y se penalizará con el mismo importe establecido para esta (100,00 euros).”</w:t>
      </w:r>
    </w:p>
    <w:sectPr w:rsidR="00F318C3" w:rsidRPr="00487C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8C3"/>
    <w:rsid w:val="001A6F1B"/>
    <w:rsid w:val="00244301"/>
    <w:rsid w:val="004274EF"/>
    <w:rsid w:val="00487C74"/>
    <w:rsid w:val="005A53DF"/>
    <w:rsid w:val="007F1222"/>
    <w:rsid w:val="00850574"/>
    <w:rsid w:val="0086150C"/>
    <w:rsid w:val="008E6027"/>
    <w:rsid w:val="009A7792"/>
    <w:rsid w:val="009F41B3"/>
    <w:rsid w:val="00C3349D"/>
    <w:rsid w:val="00F318C3"/>
    <w:rsid w:val="00FC62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DD2DE"/>
  <w15:chartTrackingRefBased/>
  <w15:docId w15:val="{0CD6C746-7FBE-434F-AF45-0D970A184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1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31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318C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318C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318C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318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318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318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318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18C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318C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318C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318C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318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318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318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318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318C3"/>
    <w:rPr>
      <w:rFonts w:eastAsiaTheme="majorEastAsia" w:cstheme="majorBidi"/>
      <w:color w:val="272727" w:themeColor="text1" w:themeTint="D8"/>
    </w:rPr>
  </w:style>
  <w:style w:type="paragraph" w:styleId="Ttulo">
    <w:name w:val="Title"/>
    <w:basedOn w:val="Normal"/>
    <w:next w:val="Normal"/>
    <w:link w:val="TtuloCar"/>
    <w:uiPriority w:val="10"/>
    <w:qFormat/>
    <w:rsid w:val="00F31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18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318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318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318C3"/>
    <w:pPr>
      <w:spacing w:before="160"/>
      <w:jc w:val="center"/>
    </w:pPr>
    <w:rPr>
      <w:i/>
      <w:iCs/>
      <w:color w:val="404040" w:themeColor="text1" w:themeTint="BF"/>
    </w:rPr>
  </w:style>
  <w:style w:type="character" w:customStyle="1" w:styleId="CitaCar">
    <w:name w:val="Cita Car"/>
    <w:basedOn w:val="Fuentedeprrafopredeter"/>
    <w:link w:val="Cita"/>
    <w:uiPriority w:val="29"/>
    <w:rsid w:val="00F318C3"/>
    <w:rPr>
      <w:i/>
      <w:iCs/>
      <w:color w:val="404040" w:themeColor="text1" w:themeTint="BF"/>
    </w:rPr>
  </w:style>
  <w:style w:type="paragraph" w:styleId="Prrafodelista">
    <w:name w:val="List Paragraph"/>
    <w:basedOn w:val="Normal"/>
    <w:uiPriority w:val="34"/>
    <w:qFormat/>
    <w:rsid w:val="00F318C3"/>
    <w:pPr>
      <w:ind w:left="720"/>
      <w:contextualSpacing/>
    </w:pPr>
  </w:style>
  <w:style w:type="character" w:styleId="nfasisintenso">
    <w:name w:val="Intense Emphasis"/>
    <w:basedOn w:val="Fuentedeprrafopredeter"/>
    <w:uiPriority w:val="21"/>
    <w:qFormat/>
    <w:rsid w:val="00F318C3"/>
    <w:rPr>
      <w:i/>
      <w:iCs/>
      <w:color w:val="0F4761" w:themeColor="accent1" w:themeShade="BF"/>
    </w:rPr>
  </w:style>
  <w:style w:type="paragraph" w:styleId="Citadestacada">
    <w:name w:val="Intense Quote"/>
    <w:basedOn w:val="Normal"/>
    <w:next w:val="Normal"/>
    <w:link w:val="CitadestacadaCar"/>
    <w:uiPriority w:val="30"/>
    <w:qFormat/>
    <w:rsid w:val="00F31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318C3"/>
    <w:rPr>
      <w:i/>
      <w:iCs/>
      <w:color w:val="0F4761" w:themeColor="accent1" w:themeShade="BF"/>
    </w:rPr>
  </w:style>
  <w:style w:type="character" w:styleId="Referenciaintensa">
    <w:name w:val="Intense Reference"/>
    <w:basedOn w:val="Fuentedeprrafopredeter"/>
    <w:uiPriority w:val="32"/>
    <w:qFormat/>
    <w:rsid w:val="00F318C3"/>
    <w:rPr>
      <w:b/>
      <w:bCs/>
      <w:smallCaps/>
      <w:color w:val="0F4761" w:themeColor="accent1" w:themeShade="BF"/>
      <w:spacing w:val="5"/>
    </w:rPr>
  </w:style>
  <w:style w:type="character" w:styleId="Hipervnculo">
    <w:name w:val="Hyperlink"/>
    <w:basedOn w:val="Fuentedeprrafopredeter"/>
    <w:uiPriority w:val="99"/>
    <w:unhideWhenUsed/>
    <w:rsid w:val="009F41B3"/>
    <w:rPr>
      <w:color w:val="467886" w:themeColor="hyperlink"/>
      <w:u w:val="single"/>
    </w:rPr>
  </w:style>
  <w:style w:type="character" w:styleId="Mencinsinresolver">
    <w:name w:val="Unresolved Mention"/>
    <w:basedOn w:val="Fuentedeprrafopredeter"/>
    <w:uiPriority w:val="99"/>
    <w:semiHidden/>
    <w:unhideWhenUsed/>
    <w:rsid w:val="009F41B3"/>
    <w:rPr>
      <w:color w:val="605E5C"/>
      <w:shd w:val="clear" w:color="auto" w:fill="E1DFDD"/>
    </w:rPr>
  </w:style>
  <w:style w:type="character" w:styleId="Hipervnculovisitado">
    <w:name w:val="FollowedHyperlink"/>
    <w:basedOn w:val="Fuentedeprrafopredeter"/>
    <w:uiPriority w:val="99"/>
    <w:semiHidden/>
    <w:unhideWhenUsed/>
    <w:rsid w:val="009F41B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ntrataciondelestado.es/wps/wcm/connect/332b4a24-babc-4ac9-813c-7b717dbf1d32/DOC_CN2021-857830.pdf?MOD=AJPE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2</Pages>
  <Words>625</Words>
  <Characters>3440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Cano Espinosa</dc:creator>
  <cp:keywords/>
  <dc:description/>
  <cp:lastModifiedBy>Carlos Cano Espinosa</cp:lastModifiedBy>
  <cp:revision>3</cp:revision>
  <dcterms:created xsi:type="dcterms:W3CDTF">2024-02-28T10:03:00Z</dcterms:created>
  <dcterms:modified xsi:type="dcterms:W3CDTF">2024-03-03T12:15:00Z</dcterms:modified>
</cp:coreProperties>
</file>