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0C4BA7">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0C4BA7"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0C4BA7"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0C4BA7">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0C4BA7">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0C4BA7"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0C4BA7"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0C4BA7"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0C4BA7"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0C4BA7"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0C4BA7"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0C4BA7">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lastRenderedPageBreak/>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3825901B" w:rsidR="003434D8" w:rsidRDefault="000C4BA7">
      <w:pPr>
        <w:ind w:left="737"/>
      </w:pPr>
      <w:r>
        <w:t>Yes, they implement identity access management, monitor system and audit logs; in technical focus. The system administrator uses these methods to protect service and system.</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bookmarkStart w:id="20" w:name="_GoBack"/>
      <w:bookmarkEnd w:id="20"/>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0C4BA7">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0C4BA7"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0C4BA7">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lastRenderedPageBreak/>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lastRenderedPageBreak/>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0C4BA7" w:rsidRDefault="000C4BA7">
      <w:pPr>
        <w:spacing w:after="0" w:line="240" w:lineRule="auto"/>
      </w:pPr>
      <w:r>
        <w:separator/>
      </w:r>
    </w:p>
  </w:endnote>
  <w:endnote w:type="continuationSeparator" w:id="0">
    <w:p w14:paraId="5632BC42" w14:textId="77777777" w:rsidR="000C4BA7" w:rsidRDefault="000C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0C4BA7" w:rsidRDefault="000C4B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077E5B3" w:rsidR="000C4BA7" w:rsidRDefault="000C4BA7">
    <w:pPr>
      <w:spacing w:after="160" w:line="259" w:lineRule="auto"/>
      <w:ind w:left="0" w:firstLine="0"/>
    </w:pPr>
    <w:r>
      <w:fldChar w:fldCharType="begin"/>
    </w:r>
    <w:r>
      <w:instrText xml:space="preserve"> DATE \@ "MMMM d, yyyy" </w:instrText>
    </w:r>
    <w:r>
      <w:fldChar w:fldCharType="separate"/>
    </w:r>
    <w:r>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0C4BA7" w:rsidRDefault="000C4B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0C4BA7" w:rsidRDefault="000C4BA7">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0C4BA7" w:rsidRDefault="000C4BA7">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0C4BA7" w:rsidRDefault="000C4BA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0C4BA7" w:rsidRDefault="000C4BA7">
      <w:pPr>
        <w:spacing w:after="0" w:line="258" w:lineRule="auto"/>
        <w:ind w:left="0" w:firstLine="0"/>
      </w:pPr>
      <w:r>
        <w:separator/>
      </w:r>
    </w:p>
  </w:footnote>
  <w:footnote w:type="continuationSeparator" w:id="0">
    <w:p w14:paraId="717D185B" w14:textId="77777777" w:rsidR="000C4BA7" w:rsidRDefault="000C4BA7">
      <w:pPr>
        <w:spacing w:after="0" w:line="258" w:lineRule="auto"/>
        <w:ind w:left="0" w:firstLine="0"/>
      </w:pPr>
      <w:r>
        <w:continuationSeparator/>
      </w:r>
    </w:p>
  </w:footnote>
  <w:footnote w:id="1">
    <w:p w14:paraId="67DECED3" w14:textId="77777777" w:rsidR="000C4BA7" w:rsidRDefault="000C4BA7">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0C4BA7"/>
    <w:rsid w:val="001079CA"/>
    <w:rsid w:val="001205D8"/>
    <w:rsid w:val="00135F13"/>
    <w:rsid w:val="0014172F"/>
    <w:rsid w:val="00166D34"/>
    <w:rsid w:val="001673B6"/>
    <w:rsid w:val="001968B1"/>
    <w:rsid w:val="001A42CD"/>
    <w:rsid w:val="001A729D"/>
    <w:rsid w:val="001D1A37"/>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C3ABE"/>
    <w:rsid w:val="003F3AAB"/>
    <w:rsid w:val="003F725A"/>
    <w:rsid w:val="00454706"/>
    <w:rsid w:val="00454C01"/>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4020"/>
    <w:rsid w:val="009C3BD7"/>
    <w:rsid w:val="00A112BC"/>
    <w:rsid w:val="00A16C0B"/>
    <w:rsid w:val="00A46BCF"/>
    <w:rsid w:val="00A47293"/>
    <w:rsid w:val="00A70741"/>
    <w:rsid w:val="00A74340"/>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377A9"/>
    <w:rsid w:val="00E84A87"/>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955316"/>
    <w:rsid w:val="00C35840"/>
    <w:rsid w:val="00E1519F"/>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2277</Words>
  <Characters>12529</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40</cp:revision>
  <dcterms:created xsi:type="dcterms:W3CDTF">2022-01-28T22:20:00Z</dcterms:created>
  <dcterms:modified xsi:type="dcterms:W3CDTF">2023-07-08T21:14:00Z</dcterms:modified>
</cp:coreProperties>
</file>