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4927160" cy="1296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160" cy="129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" w:cs="Times" w:eastAsia="Times" w:hAnsi="Times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0033a0"/>
          <w:sz w:val="36"/>
          <w:szCs w:val="36"/>
          <w:rtl w:val="0"/>
        </w:rPr>
        <w:t xml:space="preserve">Actividad 5.2 Programación paralela y concurrente</w:t>
      </w:r>
      <w:r w:rsidDel="00000000" w:rsidR="00000000" w:rsidRPr="00000000">
        <w:rPr>
          <w:rFonts w:ascii="Times" w:cs="Times" w:eastAsia="Times" w:hAnsi="Times"/>
          <w:b w:val="1"/>
          <w:color w:val="2f5496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Natalia Velasco García A01638074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Carlos Estrada Ceballos A01638214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Abigail Velasco García A01638095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de m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ayo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 del 2021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Implementación de sistemas computacionales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TC2037.2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" w:cs="Times" w:eastAsia="Times" w:hAnsi="Times"/>
          <w:b w:val="1"/>
          <w:color w:val="2f5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color w:val="2f5496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Ventana.java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1"/>
        <w:szCs w:val="1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