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Arial" w:hAnsi="Arial"/>
          <w:b/>
          <w:i w:val="0"/>
          <w:color w:val="000000"/>
          <w:sz w:val="32"/>
        </w:rPr>
        <w:t>Anexo 2 Ficha A Modelo de referencia PMS</w:t>
      </w:r>
    </w:p>
    <w:p>
      <w:pPr>
        <w:spacing w:after="180"/>
        <w:jc w:val="center"/>
      </w:pPr>
      <w:r>
        <w:rPr>
          <w:rFonts w:ascii="Arial" w:hAnsi="Arial"/>
          <w:b w:val="0"/>
          <w:i/>
          <w:color w:val="000000"/>
          <w:sz w:val="21"/>
        </w:rPr>
        <w:t>Evaluación comparativa mediante validación histórica de siete días</w:t>
      </w:r>
    </w:p>
    <w:p>
      <w:pPr>
        <w:spacing w:after="100" w:line="259" w:lineRule="auto"/>
        <w:jc w:val="both"/>
      </w:pPr>
      <w:r>
        <w:rPr>
          <w:rFonts w:ascii="Arial" w:hAnsi="Arial"/>
          <w:b w:val="0"/>
          <w:i w:val="0"/>
          <w:color w:val="000000"/>
          <w:sz w:val="19"/>
        </w:rPr>
        <w:t>Las dos fichas comparan métodos de pronóstico usando exactamente la misma ventana de ventas reales. La comparación es un backtesting histórico con orden cronológico, no una medición causal antes y después de implementar el sistema.</w:t>
      </w:r>
    </w:p>
    <w:p>
      <w:pPr>
        <w:spacing w:before="160" w:after="80"/>
      </w:pPr>
      <w:r>
        <w:rPr>
          <w:rFonts w:ascii="Arial" w:hAnsi="Arial"/>
          <w:b/>
          <w:i w:val="0"/>
          <w:color w:val="000000"/>
          <w:sz w:val="24"/>
        </w:rPr>
        <w:t>Control del período evaluado</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Elemento</w:t>
            </w:r>
          </w:p>
        </w:tc>
        <w:tc>
          <w:tcPr>
            <w:tcW w:type="dxa" w:w="698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Registro</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Corte de entrenamiento</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18 de mayo de 2026</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Período de prueba</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19 al 25 de mayo de 2026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Entrenamiento disponible</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01 de abril de 2026 al 18 de mayo de 2026</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Observaciones evaluadas</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35 observaciones: 5 categorías por 7 días</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Demanda real del período</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1 661 unidades</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Fuente</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Reportes diarios de ventas consolidados por el programa</w:t>
            </w:r>
          </w:p>
        </w:tc>
      </w:tr>
    </w:tbl>
    <w:p>
      <w:pPr>
        <w:spacing w:after="20"/>
      </w:pPr>
    </w:p>
    <w:p>
      <w:pPr>
        <w:spacing w:before="160" w:after="80"/>
      </w:pPr>
      <w:r>
        <w:rPr>
          <w:rFonts w:ascii="Arial" w:hAnsi="Arial"/>
          <w:b/>
          <w:i w:val="0"/>
          <w:color w:val="000000"/>
          <w:sz w:val="24"/>
        </w:rPr>
        <w:t>Método aplicado</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Elemento</w:t>
            </w:r>
          </w:p>
        </w:tc>
        <w:tc>
          <w:tcPr>
            <w:tcW w:type="dxa" w:w="698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Aplicación</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Método</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Promedio móvil simple recursivo de siete días</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Regla de proyección</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Cada día proyectado usa el promedio de las siete observaciones disponibles más recientes; los días futuros se proyectan de forma recursiva.</w:t>
            </w:r>
          </w:p>
        </w:tc>
      </w:tr>
    </w:tbl>
    <w:p>
      <w:pPr>
        <w:spacing w:after="20"/>
      </w:pPr>
    </w:p>
    <w:p>
      <w:pPr>
        <w:spacing w:before="160" w:after="80"/>
      </w:pPr>
      <w:r>
        <w:rPr>
          <w:rFonts w:ascii="Arial" w:hAnsi="Arial"/>
          <w:b/>
          <w:i w:val="0"/>
          <w:color w:val="000000"/>
          <w:sz w:val="24"/>
        </w:rPr>
        <w:t>Resultado general</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8"/>
              </w:rPr>
              <w:t>Métrica</w:t>
            </w:r>
          </w:p>
        </w:tc>
        <w:tc>
          <w:tcPr>
            <w:tcW w:type="dxa" w:w="698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8"/>
              </w:rPr>
              <w:t>Resultado en 35 observaciones</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MAE</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11,47</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RMSE</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15,66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MAPE</w:t>
            </w:r>
          </w:p>
        </w:tc>
        <w:tc>
          <w:tcPr>
            <w:tcW w:type="dxa" w:w="698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31,90%</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WAPE</w:t>
            </w:r>
          </w:p>
        </w:tc>
        <w:tc>
          <w:tcPr>
            <w:tcW w:type="dxa" w:w="698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8"/>
              </w:rPr>
              <w:t>24,17%</w:t>
            </w:r>
          </w:p>
        </w:tc>
      </w:tr>
    </w:tbl>
    <w:p>
      <w:pPr>
        <w:spacing w:after="20"/>
      </w:pPr>
    </w:p>
    <w:p>
      <w:pPr>
        <w:spacing w:after="100" w:line="259" w:lineRule="auto"/>
        <w:jc w:val="both"/>
      </w:pPr>
      <w:r>
        <w:rPr>
          <w:rFonts w:ascii="Arial" w:hAnsi="Arial"/>
          <w:b w:val="0"/>
          <w:i w:val="0"/>
          <w:color w:val="000000"/>
          <w:sz w:val="19"/>
        </w:rPr>
        <w:t>La ficha A constituye la línea base. Sus métricas se calculan sobre las 35 observaciones de categoría y día. Se usa para contrastar el modelo de machine learning contra el mismo conjunto de ventas reales.</w:t>
      </w:r>
    </w:p>
    <w:p>
      <w:r>
        <w:br w:type="page"/>
      </w:r>
    </w:p>
    <w:p>
      <w:pPr>
        <w:spacing w:before="160" w:after="80"/>
      </w:pPr>
      <w:r>
        <w:rPr>
          <w:rFonts w:ascii="Arial" w:hAnsi="Arial"/>
          <w:b/>
          <w:i w:val="0"/>
          <w:color w:val="000000"/>
          <w:sz w:val="24"/>
        </w:rPr>
        <w:t>Resultados por categoría</w:t>
      </w:r>
    </w:p>
    <w:p>
      <w:pPr>
        <w:spacing w:after="100" w:line="259" w:lineRule="auto"/>
        <w:jc w:val="both"/>
      </w:pPr>
      <w:r>
        <w:rPr>
          <w:rFonts w:ascii="Arial" w:hAnsi="Arial"/>
          <w:b w:val="0"/>
          <w:i w:val="0"/>
          <w:color w:val="000000"/>
          <w:sz w:val="19"/>
        </w:rPr>
        <w:t>DR corresponde a la suma de la demanda real de los siete días. DP corresponde a la suma de las proyecciones para esos mismos siete días. MAE, RMSE y MAPE se calculan día por día dentro de cada categoría.</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944"/>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Categoría</w:t>
            </w:r>
          </w:p>
        </w:tc>
        <w:tc>
          <w:tcPr>
            <w:tcW w:type="dxa" w:w="1123"/>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DR</w:t>
            </w:r>
          </w:p>
        </w:tc>
        <w:tc>
          <w:tcPr>
            <w:tcW w:type="dxa" w:w="136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DP</w:t>
            </w:r>
          </w:p>
        </w:tc>
        <w:tc>
          <w:tcPr>
            <w:tcW w:type="dxa" w:w="1252"/>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MAE</w:t>
            </w:r>
          </w:p>
        </w:tc>
        <w:tc>
          <w:tcPr>
            <w:tcW w:type="dxa" w:w="1339"/>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RMSE</w:t>
            </w:r>
          </w:p>
        </w:tc>
        <w:tc>
          <w:tcPr>
            <w:tcW w:type="dxa" w:w="136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6"/>
              </w:rPr>
              <w:t>MAPE</w:t>
            </w:r>
          </w:p>
        </w:tc>
      </w:tr>
      <w:tr>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ABARROTES</w:t>
            </w:r>
          </w:p>
        </w:tc>
        <w:tc>
          <w:tcPr>
            <w:tcW w:type="dxa" w:w="112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355</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367,38</w:t>
            </w:r>
          </w:p>
        </w:tc>
        <w:tc>
          <w:tcPr>
            <w:tcW w:type="dxa" w:w="125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5,63</w:t>
            </w:r>
          </w:p>
        </w:tc>
        <w:tc>
          <w:tcPr>
            <w:tcW w:type="dxa" w:w="1339"/>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7,26</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12,29%</w:t>
            </w:r>
          </w:p>
        </w:tc>
      </w:tr>
      <w:tr>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BEBIDAS</w:t>
            </w:r>
          </w:p>
        </w:tc>
        <w:tc>
          <w:tcPr>
            <w:tcW w:type="dxa" w:w="112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563</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700,88</w:t>
            </w:r>
          </w:p>
        </w:tc>
        <w:tc>
          <w:tcPr>
            <w:tcW w:type="dxa" w:w="125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26,02</w:t>
            </w:r>
          </w:p>
        </w:tc>
        <w:tc>
          <w:tcPr>
            <w:tcW w:type="dxa" w:w="1339"/>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29,45</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40,24%</w:t>
            </w:r>
          </w:p>
        </w:tc>
      </w:tr>
      <w:tr>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GOLOSINAS</w:t>
            </w:r>
          </w:p>
        </w:tc>
        <w:tc>
          <w:tcPr>
            <w:tcW w:type="dxa" w:w="112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464</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505,77</w:t>
            </w:r>
          </w:p>
        </w:tc>
        <w:tc>
          <w:tcPr>
            <w:tcW w:type="dxa" w:w="125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12,21</w:t>
            </w:r>
          </w:p>
        </w:tc>
        <w:tc>
          <w:tcPr>
            <w:tcW w:type="dxa" w:w="1339"/>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13,54</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20,14%</w:t>
            </w:r>
          </w:p>
        </w:tc>
      </w:tr>
      <w:tr>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HELADOS</w:t>
            </w:r>
          </w:p>
        </w:tc>
        <w:tc>
          <w:tcPr>
            <w:tcW w:type="dxa" w:w="1123"/>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173</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183,67</w:t>
            </w:r>
          </w:p>
        </w:tc>
        <w:tc>
          <w:tcPr>
            <w:tcW w:type="dxa" w:w="125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9,05</w:t>
            </w:r>
          </w:p>
        </w:tc>
        <w:tc>
          <w:tcPr>
            <w:tcW w:type="dxa" w:w="1339"/>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9,40</w:t>
            </w:r>
          </w:p>
        </w:tc>
        <w:tc>
          <w:tcPr>
            <w:tcW w:type="dxa" w:w="136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42,34%</w:t>
            </w:r>
          </w:p>
        </w:tc>
      </w:tr>
      <w:tr>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6"/>
              </w:rPr>
              <w:t>LIMPIEZA</w:t>
            </w:r>
          </w:p>
        </w:tc>
        <w:tc>
          <w:tcPr>
            <w:tcW w:type="dxa" w:w="1123"/>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106</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106,50</w:t>
            </w:r>
          </w:p>
        </w:tc>
        <w:tc>
          <w:tcPr>
            <w:tcW w:type="dxa" w:w="125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4,45</w:t>
            </w:r>
          </w:p>
        </w:tc>
        <w:tc>
          <w:tcPr>
            <w:tcW w:type="dxa" w:w="1339"/>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5,89</w:t>
            </w:r>
          </w:p>
        </w:tc>
        <w:tc>
          <w:tcPr>
            <w:tcW w:type="dxa" w:w="136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6"/>
              </w:rPr>
              <w:t>44,48%</w:t>
            </w:r>
          </w:p>
        </w:tc>
      </w:tr>
    </w:tbl>
    <w:p>
      <w:pPr>
        <w:spacing w:after="20"/>
      </w:pPr>
    </w:p>
    <w:p>
      <w:pPr>
        <w:spacing w:before="160" w:after="80"/>
      </w:pPr>
      <w:r>
        <w:rPr>
          <w:rFonts w:ascii="Arial" w:hAnsi="Arial"/>
          <w:b/>
          <w:i w:val="0"/>
          <w:color w:val="000000"/>
          <w:sz w:val="24"/>
        </w:rPr>
        <w:t>Control diario del período</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2232"/>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Fecha</w:t>
            </w:r>
          </w:p>
        </w:tc>
        <w:tc>
          <w:tcPr>
            <w:tcW w:type="dxa" w:w="2376"/>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Demanda real</w:t>
            </w:r>
          </w:p>
        </w:tc>
        <w:tc>
          <w:tcPr>
            <w:tcW w:type="dxa" w:w="2376"/>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Pronóstico</w:t>
            </w:r>
          </w:p>
        </w:tc>
        <w:tc>
          <w:tcPr>
            <w:tcW w:type="dxa" w:w="2376"/>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Error absoluto</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19/05/2026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219</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262,00</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43,00</w:t>
            </w:r>
          </w:p>
        </w:tc>
      </w:tr>
      <w:tr>
        <w:tc>
          <w:tcPr>
            <w:tcW w:type="dxa" w:w="223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20/05/2026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191</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266,72</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75,72</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21/05/2026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228</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268,39</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40,39</w:t>
            </w:r>
          </w:p>
        </w:tc>
      </w:tr>
      <w:tr>
        <w:tc>
          <w:tcPr>
            <w:tcW w:type="dxa" w:w="223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22/05/2026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251</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274,16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23,16</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23/05/2026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294</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267,90</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26,10</w:t>
            </w:r>
          </w:p>
        </w:tc>
      </w:tr>
      <w:tr>
        <w:tc>
          <w:tcPr>
            <w:tcW w:type="dxa" w:w="2232"/>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24/05/2026</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281</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262,88</w:t>
            </w:r>
          </w:p>
        </w:tc>
        <w:tc>
          <w:tcPr>
            <w:tcW w:type="dxa" w:w="2376"/>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18,12</w:t>
            </w:r>
          </w:p>
        </w:tc>
      </w:tr>
      <w:tr>
        <w:tc>
          <w:tcPr>
            <w:tcW w:type="dxa" w:w="2232"/>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25/05/2026</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197</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262,15</w:t>
            </w:r>
          </w:p>
        </w:tc>
        <w:tc>
          <w:tcPr>
            <w:tcW w:type="dxa" w:w="2376"/>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65,15</w:t>
            </w:r>
          </w:p>
        </w:tc>
      </w:tr>
    </w:tbl>
    <w:p>
      <w:pPr>
        <w:spacing w:after="20"/>
      </w:pPr>
    </w:p>
    <w:p>
      <w:pPr>
        <w:spacing w:before="160" w:after="80"/>
      </w:pPr>
      <w:r>
        <w:rPr>
          <w:rFonts w:ascii="Arial" w:hAnsi="Arial"/>
          <w:b/>
          <w:i w:val="0"/>
          <w:color w:val="000000"/>
          <w:sz w:val="24"/>
        </w:rPr>
        <w:t>Patrón de demanda observable</w:t>
      </w:r>
    </w:p>
    <w:p>
      <w:pPr>
        <w:spacing w:after="100" w:line="259" w:lineRule="auto"/>
        <w:jc w:val="both"/>
      </w:pPr>
      <w:r>
        <w:rPr>
          <w:rFonts w:ascii="Arial" w:hAnsi="Arial"/>
          <w:b w:val="0"/>
          <w:i w:val="0"/>
          <w:color w:val="000000"/>
          <w:sz w:val="19"/>
        </w:rPr>
        <w:t>El índice de patrón se presenta como IE = VP / VPR, donde VP es el promedio diario del período evaluado y VPR es el promedio diario de referencia anterior al corte. Un valor menor que 1 indica una demanda media menor que la referencia histórica.</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2880"/>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Categoría</w:t>
            </w:r>
          </w:p>
        </w:tc>
        <w:tc>
          <w:tcPr>
            <w:tcW w:type="dxa" w:w="1944"/>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VP</w:t>
            </w:r>
          </w:p>
        </w:tc>
        <w:tc>
          <w:tcPr>
            <w:tcW w:type="dxa" w:w="244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VPR</w:t>
            </w:r>
          </w:p>
        </w:tc>
        <w:tc>
          <w:tcPr>
            <w:tcW w:type="dxa" w:w="1728"/>
            <w:shd w:fill="1F4E7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center"/>
            </w:pPr>
            <w:r>
              <w:rPr>
                <w:rFonts w:ascii="Arial" w:hAnsi="Arial"/>
                <w:b/>
                <w:i w:val="0"/>
                <w:color w:val="FFFFFF"/>
                <w:sz w:val="17"/>
              </w:rPr>
              <w:t>IE</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ABARROTES</w:t>
            </w:r>
          </w:p>
        </w:tc>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50,71</w:t>
            </w:r>
          </w:p>
        </w:tc>
        <w:tc>
          <w:tcPr>
            <w:tcW w:type="dxa" w:w="244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47,73</w:t>
            </w:r>
          </w:p>
        </w:tc>
        <w:tc>
          <w:tcPr>
            <w:tcW w:type="dxa" w:w="172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1,06</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BEBIDAS</w:t>
            </w:r>
          </w:p>
        </w:tc>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80,43</w:t>
            </w:r>
          </w:p>
        </w:tc>
        <w:tc>
          <w:tcPr>
            <w:tcW w:type="dxa" w:w="244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83,75</w:t>
            </w:r>
          </w:p>
        </w:tc>
        <w:tc>
          <w:tcPr>
            <w:tcW w:type="dxa" w:w="172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GOLOSINAS</w:t>
            </w:r>
          </w:p>
        </w:tc>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66,29</w:t>
            </w:r>
          </w:p>
        </w:tc>
        <w:tc>
          <w:tcPr>
            <w:tcW w:type="dxa" w:w="244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73,06</w:t>
            </w:r>
          </w:p>
        </w:tc>
        <w:tc>
          <w:tcPr>
            <w:tcW w:type="dxa" w:w="172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0,91</w:t>
            </w:r>
          </w:p>
        </w:tc>
      </w:tr>
      <w:tr>
        <w:tc>
          <w:tcPr>
            <w:tcW w:type="dxa" w:w="2880"/>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HELADOS</w:t>
            </w:r>
          </w:p>
        </w:tc>
        <w:tc>
          <w:tcPr>
            <w:tcW w:type="dxa" w:w="1944"/>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24,71</w:t>
            </w:r>
          </w:p>
        </w:tc>
        <w:tc>
          <w:tcPr>
            <w:tcW w:type="dxa" w:w="244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25,83</w:t>
            </w:r>
          </w:p>
        </w:tc>
        <w:tc>
          <w:tcPr>
            <w:tcW w:type="dxa" w:w="1728"/>
            <w:shd w:fill="EEF4F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0,96</w:t>
            </w:r>
          </w:p>
        </w:tc>
      </w:tr>
      <w:tr>
        <w:tc>
          <w:tcPr>
            <w:tcW w:type="dxa" w:w="2880"/>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left"/>
            </w:pPr>
            <w:r>
              <w:rPr>
                <w:rFonts w:ascii="Arial" w:hAnsi="Arial"/>
                <w:b w:val="0"/>
                <w:i w:val="0"/>
                <w:color w:val="000000"/>
                <w:sz w:val="17"/>
              </w:rPr>
              <w:t>LIMPIEZA</w:t>
            </w:r>
          </w:p>
        </w:tc>
        <w:tc>
          <w:tcPr>
            <w:tcW w:type="dxa" w:w="1944"/>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15,14</w:t>
            </w:r>
          </w:p>
        </w:tc>
        <w:tc>
          <w:tcPr>
            <w:tcW w:type="dxa" w:w="244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15,83</w:t>
            </w:r>
          </w:p>
        </w:tc>
        <w:tc>
          <w:tcPr>
            <w:tcW w:type="dxa" w:w="1728"/>
            <w:tcBorders>
              <w:top w:val="single" w:sz="4" w:space="0" w:color="D9D9D9"/>
              <w:left w:val="single" w:sz="4" w:space="0" w:color="D9D9D9"/>
              <w:bottom w:val="single" w:sz="4" w:space="0" w:color="D9D9D9"/>
              <w:right w:val="single" w:sz="4" w:space="0" w:color="D9D9D9"/>
            </w:tcBorders>
            <w:tcMar>
              <w:top w:w="90" w:type="dxa"/>
              <w:start w:w="90" w:type="dxa"/>
              <w:bottom w:w="90" w:type="dxa"/>
              <w:end w:w="90" w:type="dxa"/>
            </w:tcMar>
            <w:vAlign w:val="center"/>
          </w:tcPr>
          <w:p>
            <w:pPr>
              <w:spacing w:after="0"/>
              <w:jc w:val="right"/>
            </w:pPr>
            <w:r>
              <w:rPr>
                <w:rFonts w:ascii="Arial" w:hAnsi="Arial"/>
                <w:b w:val="0"/>
                <w:i w:val="0"/>
                <w:color w:val="000000"/>
                <w:sz w:val="17"/>
              </w:rPr>
              <w:t>0,96</w:t>
            </w:r>
          </w:p>
        </w:tc>
      </w:tr>
    </w:tbl>
    <w:p>
      <w:pPr>
        <w:spacing w:after="20"/>
      </w:pPr>
    </w:p>
    <w:p>
      <w:pPr>
        <w:spacing w:before="160" w:after="80"/>
      </w:pPr>
      <w:r>
        <w:rPr>
          <w:rFonts w:ascii="Arial" w:hAnsi="Arial"/>
          <w:b/>
          <w:i w:val="0"/>
          <w:color w:val="000000"/>
          <w:sz w:val="24"/>
        </w:rPr>
        <w:t>Alcance de los indicadores de inventario</w:t>
      </w:r>
    </w:p>
    <w:p>
      <w:pPr>
        <w:spacing w:after="100" w:line="259" w:lineRule="auto"/>
        <w:jc w:val="both"/>
      </w:pPr>
      <w:r>
        <w:rPr>
          <w:rFonts w:ascii="Arial" w:hAnsi="Arial"/>
          <w:b w:val="0"/>
          <w:i w:val="0"/>
          <w:color w:val="000000"/>
          <w:sz w:val="19"/>
        </w:rPr>
        <w:t>La cantidad demandada se respalda en las ventas reales consolidadas: 1 671 unidades en el período. No se reportan el índice de salida de inventario ni la tasa de quiebre de stock como resultados reales, porque el archivo de inventario disponible no contiene un kardex continuo para todos los productos y los siete días. Calcularlos con registros incompletos produciría un resultado no verificable.</w:t>
      </w:r>
    </w:p>
    <w:p>
      <w:pPr>
        <w:spacing w:after="100" w:line="259" w:lineRule="auto"/>
        <w:jc w:val="both"/>
      </w:pPr>
      <w:r>
        <w:rPr>
          <w:rFonts w:ascii="Arial" w:hAnsi="Arial"/>
          <w:b w:val="0"/>
          <w:i w:val="0"/>
          <w:color w:val="000000"/>
          <w:sz w:val="19"/>
        </w:rPr>
        <w:t>Para un postest causal de implementación se requieren ventas e inventario registrados después de utilizar el modelo. Esta ficha compara métodos contra la misma demanda real y no debe interpretarse como evidencia de un cambio operativo de la tienda.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