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28"/>
        </w:rPr>
        <w:t>Anexo 2 Instrumentos de recolección de datos</w:t>
      </w:r>
    </w:p>
    <w:p>
      <w:pPr>
        <w:spacing w:before="0" w:after="100" w:line="269" w:lineRule="auto"/>
      </w:pPr>
      <w:r>
        <w:rPr>
          <w:rFonts w:ascii="Arial" w:hAnsi="Arial"/>
          <w:b w:val="0"/>
          <w:i w:val="0"/>
          <w:color w:val="1F2933"/>
          <w:sz w:val="20"/>
        </w:rPr>
        <w:t>El presente anexo reúne los instrumentos para medir los indicadores de demanda, inventario, estacionalidad y error de pronóstico. Cada ficha se aplica en dos momentos comparables: O1 Pretest, antes de la implementación del modelo predictivo, y O2 Postest, después de su aplicación.</w:t>
      </w:r>
    </w:p>
    <w:p>
      <w:pPr>
        <w:spacing w:before="0" w:after="140" w:line="269" w:lineRule="auto"/>
      </w:pPr>
      <w:r>
        <w:rPr>
          <w:rFonts w:ascii="Arial" w:hAnsi="Arial"/>
          <w:b w:val="0"/>
          <w:i w:val="0"/>
          <w:color w:val="1F2933"/>
          <w:sz w:val="20"/>
        </w:rPr>
        <w:t>La comparación requiere la misma unidad de análisis, las mismas categorías comerciales, registros trazables y períodos de igual duración. Los datos de ventas se obtienen del historial consolidado; los indicadores de inventario se calculan exclusivamente con el kardex oficial de la tienda.</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75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Secuencia</w:t>
            </w:r>
          </w:p>
        </w:tc>
        <w:tc>
          <w:tcPr>
            <w:tcW w:type="dxa" w:w="5213"/>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Descripción</w:t>
            </w:r>
          </w:p>
        </w:tc>
        <w:tc>
          <w:tcPr>
            <w:tcW w:type="dxa" w:w="2966"/>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Evidencia que se conserva</w:t>
            </w:r>
          </w:p>
        </w:tc>
      </w:tr>
      <w:tr>
        <w:trPr>
          <w:cantSplit/>
        </w:trPr>
        <w:tc>
          <w:tcPr>
            <w:tcW w:type="dxa" w:w="1757"/>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O1 Pretest</w:t>
            </w:r>
          </w:p>
        </w:tc>
        <w:tc>
          <w:tcPr>
            <w:tcW w:type="dxa" w:w="5213"/>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Medición inicial de los cinco indicadores antes de aplicar el modelo.</w:t>
            </w:r>
          </w:p>
        </w:tc>
        <w:tc>
          <w:tcPr>
            <w:tcW w:type="dxa" w:w="2966"/>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Fichas de registro, reporte de ventas y kardex del período inicial.</w:t>
            </w:r>
          </w:p>
        </w:tc>
      </w:tr>
      <w:tr>
        <w:trPr>
          <w:cantSplit/>
        </w:trPr>
        <w:tc>
          <w:tcPr>
            <w:tcW w:type="dxa" w:w="1757"/>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X Intervención</w:t>
            </w:r>
          </w:p>
        </w:tc>
        <w:tc>
          <w:tcPr>
            <w:tcW w:type="dxa" w:w="5213"/>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Implementación y uso del modelo predictivo para pronosticar la demanda.</w:t>
            </w:r>
          </w:p>
        </w:tc>
        <w:tc>
          <w:tcPr>
            <w:tcW w:type="dxa" w:w="2966"/>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Reporte procesado, fecha de corte, horizonte y archivo de salida.</w:t>
            </w:r>
          </w:p>
        </w:tc>
      </w:tr>
      <w:tr>
        <w:trPr>
          <w:cantSplit/>
        </w:trPr>
        <w:tc>
          <w:tcPr>
            <w:tcW w:type="dxa" w:w="1757"/>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O2 Postest</w:t>
            </w:r>
          </w:p>
        </w:tc>
        <w:tc>
          <w:tcPr>
            <w:tcW w:type="dxa" w:w="5213"/>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Medición posterior de los mismos indicadores con el mismo criterio de registro.</w:t>
            </w:r>
          </w:p>
        </w:tc>
        <w:tc>
          <w:tcPr>
            <w:tcW w:type="dxa" w:w="2966"/>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Fichas de registro, reporte de ventas y kardex del período posterior.</w:t>
            </w:r>
          </w:p>
        </w:tc>
      </w:tr>
    </w:tbl>
    <w:p>
      <w:pPr>
        <w:spacing w:before="80" w:after="100" w:line="264" w:lineRule="auto"/>
      </w:pPr>
      <w:r>
        <w:rPr>
          <w:rFonts w:ascii="Arial" w:hAnsi="Arial"/>
          <w:b/>
          <w:i/>
          <w:color w:val="56616F"/>
          <w:sz w:val="17"/>
        </w:rPr>
        <w:t xml:space="preserve">Nota metodológica. </w:t>
      </w:r>
      <w:r>
        <w:rPr>
          <w:rFonts w:ascii="Arial" w:hAnsi="Arial"/>
          <w:i/>
          <w:color w:val="56616F"/>
          <w:sz w:val="17"/>
        </w:rPr>
        <w:t>PMS-7 es un método de referencia para comparar el error de pronóstico. No sustituye la medición O1 Pretest ni se presenta como un resultado experimental previo.</w:t>
      </w:r>
    </w:p>
    <w:p>
      <w:pPr>
        <w:pStyle w:val="Heading1"/>
        <w:keepNext/>
        <w:spacing w:before="200" w:after="80"/>
      </w:pPr>
      <w:r>
        <w:rPr>
          <w:rFonts w:ascii="Arial" w:hAnsi="Arial"/>
          <w:b/>
          <w:color w:val="000000"/>
          <w:sz w:val="22"/>
        </w:rPr>
        <w:t>Criterios de aplicación</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Campo</w:t>
            </w:r>
          </w:p>
        </w:tc>
        <w:tc>
          <w:tcPr>
            <w:tcW w:type="dxa" w:w="7459"/>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Registro</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Investigador</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Guerrero Mora, Carlos David Elian</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Lugar de estudio</w:t>
            </w:r>
          </w:p>
        </w:tc>
        <w:tc>
          <w:tcPr>
            <w:tcW w:type="dxa" w:w="745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Minimarket Taully, Comas</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Técnica</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Análisis documental de reportes de ventas, reportes de inventario y salidas del sistema</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Unidad de análisis</w:t>
            </w:r>
          </w:p>
        </w:tc>
        <w:tc>
          <w:tcPr>
            <w:tcW w:type="dxa" w:w="745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Registro diario por producto o categoría comercial, según el indicador</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Criterio comparativo</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Mismo número de días, categorías equivalentes y fuente verificable en O1 y O2</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Regla de trazabilidad</w:t>
            </w:r>
          </w:p>
        </w:tc>
        <w:tc>
          <w:tcPr>
            <w:tcW w:type="dxa" w:w="745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Conservar el archivo fuente, fecha de extracción, período evaluado y cálculo aplicado</w:t>
            </w:r>
          </w:p>
        </w:tc>
      </w:tr>
    </w:tbl>
    <w:p>
      <w:pPr>
        <w:spacing w:before="80" w:after="100" w:line="264" w:lineRule="auto"/>
      </w:pPr>
      <w:r>
        <w:rPr>
          <w:rFonts w:ascii="Arial" w:hAnsi="Arial"/>
          <w:b/>
          <w:i/>
          <w:color w:val="56616F"/>
          <w:sz w:val="17"/>
        </w:rPr>
        <w:t xml:space="preserve">Regla de calidad. </w:t>
      </w:r>
      <w:r>
        <w:rPr>
          <w:rFonts w:ascii="Arial" w:hAnsi="Arial"/>
          <w:i/>
          <w:color w:val="56616F"/>
          <w:sz w:val="17"/>
        </w:rPr>
        <w:t>No se reemplazan SI, EN, SF, DQS o DD con estimaciones. Para los indicadores de inventario se requiere el kardex oficial con sus movimientos y cierres.</w:t>
      </w:r>
    </w:p>
    <w:p>
      <w:r>
        <w:br w:type="page"/>
      </w:r>
    </w:p>
    <w:p>
      <w:pPr>
        <w:pStyle w:val="Heading1"/>
        <w:keepNext/>
        <w:spacing w:before="200" w:after="80"/>
      </w:pPr>
      <w:r>
        <w:rPr>
          <w:rFonts w:ascii="Arial" w:hAnsi="Arial"/>
          <w:b/>
          <w:color w:val="000000"/>
          <w:sz w:val="22"/>
        </w:rPr>
        <w:t>Instrumento 1 Cantidad demandada</w:t>
      </w:r>
    </w:p>
    <w:p>
      <w:pPr>
        <w:spacing w:before="0" w:after="100" w:line="269" w:lineRule="auto"/>
      </w:pPr>
      <w:r>
        <w:rPr>
          <w:rFonts w:ascii="Arial" w:hAnsi="Arial"/>
          <w:b w:val="0"/>
          <w:i w:val="0"/>
          <w:color w:val="56616F"/>
          <w:sz w:val="18"/>
        </w:rPr>
        <w:t>Ficha para registrar el indicador con el mismo criterio en O1 Pretest y O2 Postest. Las dos mediciones deben usar igual unidad de análisis, categorías comparables y una ventana de tiempo equivalente.</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Campo</w:t>
            </w:r>
          </w:p>
        </w:tc>
        <w:tc>
          <w:tcPr>
            <w:tcW w:type="dxa" w:w="7459"/>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Registro</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Indicador</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Cantidad demandada</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Fórmula</w:t>
            </w:r>
          </w:p>
        </w:tc>
        <w:tc>
          <w:tcPr>
            <w:tcW w:type="dxa" w:w="745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CD = (SI + EN) - SF</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Definición</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Unidades demandadas o vendidas durante el período evaluado.</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Unidad de medida</w:t>
            </w:r>
          </w:p>
        </w:tc>
        <w:tc>
          <w:tcPr>
            <w:tcW w:type="dxa" w:w="745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Unidades</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Fuente principal</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Kardex oficial y reporte de ventas para la conciliación</w:t>
            </w:r>
          </w:p>
        </w:tc>
      </w:tr>
    </w:tbl>
    <w:p>
      <w:pPr>
        <w:spacing w:before="0" w:after="100" w:line="269" w:lineRule="auto"/>
      </w:pPr>
      <w:r>
        <w:rPr>
          <w:rFonts w:ascii="Arial" w:hAnsi="Arial"/>
          <w:b w:val="0"/>
          <w:i w:val="0"/>
          <w:color w:val="1F2933"/>
          <w:sz w:val="18"/>
        </w:rPr>
        <w:t>La cantidad demandada se calcula con el balance de inventario. Cuando exista un reporte de ventas, la suma de ventas se usa para conciliar el resultado del balance, no para reemplazar los campos de inventario.</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131"/>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Campo</w:t>
            </w:r>
          </w:p>
        </w:tc>
        <w:tc>
          <w:tcPr>
            <w:tcW w:type="dxa" w:w="4810"/>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Qué debe registrarse</w:t>
            </w:r>
          </w:p>
        </w:tc>
        <w:tc>
          <w:tcPr>
            <w:tcW w:type="dxa" w:w="2995"/>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Uso en el indicador</w:t>
            </w:r>
          </w:p>
        </w:tc>
      </w:tr>
      <w:tr>
        <w:trPr>
          <w:cantSplit/>
        </w:trPr>
        <w:tc>
          <w:tcPr>
            <w:tcW w:type="dxa" w:w="213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Período</w:t>
            </w:r>
          </w:p>
        </w:tc>
        <w:tc>
          <w:tcPr>
            <w:tcW w:type="dxa" w:w="4810"/>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Fecha de inicio y fecha de cierre de la medición</w:t>
            </w:r>
          </w:p>
        </w:tc>
        <w:tc>
          <w:tcPr>
            <w:tcW w:type="dxa" w:w="2995"/>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Delimita el cálculo</w:t>
            </w:r>
          </w:p>
        </w:tc>
      </w:tr>
      <w:tr>
        <w:trPr>
          <w:cantSplit/>
        </w:trPr>
        <w:tc>
          <w:tcPr>
            <w:tcW w:type="dxa" w:w="2131"/>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Producto o categoría</w:t>
            </w:r>
          </w:p>
        </w:tc>
        <w:tc>
          <w:tcPr>
            <w:tcW w:type="dxa" w:w="4810"/>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Código o nombre y categoría comercial</w:t>
            </w:r>
          </w:p>
        </w:tc>
        <w:tc>
          <w:tcPr>
            <w:tcW w:type="dxa" w:w="2995"/>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Permite consolidar los registros</w:t>
            </w:r>
          </w:p>
        </w:tc>
      </w:tr>
      <w:tr>
        <w:trPr>
          <w:cantSplit/>
        </w:trPr>
        <w:tc>
          <w:tcPr>
            <w:tcW w:type="dxa" w:w="213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SI</w:t>
            </w:r>
          </w:p>
        </w:tc>
        <w:tc>
          <w:tcPr>
            <w:tcW w:type="dxa" w:w="4810"/>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Stock existente al inicio del período</w:t>
            </w:r>
          </w:p>
        </w:tc>
        <w:tc>
          <w:tcPr>
            <w:tcW w:type="dxa" w:w="2995"/>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Componente del stock disponible</w:t>
            </w:r>
          </w:p>
        </w:tc>
      </w:tr>
      <w:tr>
        <w:trPr>
          <w:cantSplit/>
        </w:trPr>
        <w:tc>
          <w:tcPr>
            <w:tcW w:type="dxa" w:w="2131"/>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EN</w:t>
            </w:r>
          </w:p>
        </w:tc>
        <w:tc>
          <w:tcPr>
            <w:tcW w:type="dxa" w:w="4810"/>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Unidades ingresadas durante el período</w:t>
            </w:r>
          </w:p>
        </w:tc>
        <w:tc>
          <w:tcPr>
            <w:tcW w:type="dxa" w:w="2995"/>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Componente del stock disponible</w:t>
            </w:r>
          </w:p>
        </w:tc>
      </w:tr>
      <w:tr>
        <w:trPr>
          <w:cantSplit/>
        </w:trPr>
        <w:tc>
          <w:tcPr>
            <w:tcW w:type="dxa" w:w="213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SF</w:t>
            </w:r>
          </w:p>
        </w:tc>
        <w:tc>
          <w:tcPr>
            <w:tcW w:type="dxa" w:w="4810"/>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Stock existente al cierre del período</w:t>
            </w:r>
          </w:p>
        </w:tc>
        <w:tc>
          <w:tcPr>
            <w:tcW w:type="dxa" w:w="2995"/>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Permite obtener CD</w:t>
            </w:r>
          </w:p>
        </w:tc>
      </w:tr>
      <w:tr>
        <w:trPr>
          <w:cantSplit/>
        </w:trPr>
        <w:tc>
          <w:tcPr>
            <w:tcW w:type="dxa" w:w="2131"/>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CD</w:t>
            </w:r>
          </w:p>
        </w:tc>
        <w:tc>
          <w:tcPr>
            <w:tcW w:type="dxa" w:w="4810"/>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Resultado de la fórmula por producto o categoría</w:t>
            </w:r>
          </w:p>
        </w:tc>
        <w:tc>
          <w:tcPr>
            <w:tcW w:type="dxa" w:w="2995"/>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Indicador de demanda</w:t>
            </w:r>
          </w:p>
        </w:tc>
      </w:tr>
    </w:tbl>
    <w:p>
      <w:pPr>
        <w:spacing w:before="140" w:after="60" w:line="269" w:lineRule="auto"/>
      </w:pPr>
      <w:r>
        <w:rPr>
          <w:rFonts w:ascii="Arial" w:hAnsi="Arial"/>
          <w:b/>
          <w:i w:val="0"/>
          <w:color w:val="1F2933"/>
          <w:sz w:val="19"/>
        </w:rPr>
        <w:t>Aplicación por momento</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613"/>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Momento</w:t>
            </w:r>
          </w:p>
        </w:tc>
        <w:tc>
          <w:tcPr>
            <w:tcW w:type="dxa" w:w="5069"/>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Propósito de la medición</w:t>
            </w:r>
          </w:p>
        </w:tc>
        <w:tc>
          <w:tcPr>
            <w:tcW w:type="dxa" w:w="3254"/>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Fuente que se conserva</w:t>
            </w:r>
          </w:p>
        </w:tc>
      </w:tr>
      <w:tr>
        <w:trPr>
          <w:cantSplit/>
        </w:trPr>
        <w:tc>
          <w:tcPr>
            <w:tcW w:type="dxa" w:w="1613"/>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O1 Pretest</w:t>
            </w:r>
          </w:p>
        </w:tc>
        <w:tc>
          <w:tcPr>
            <w:tcW w:type="dxa" w:w="506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Registrar CD del período anterior a la implementación del modelo.</w:t>
            </w:r>
          </w:p>
        </w:tc>
        <w:tc>
          <w:tcPr>
            <w:tcW w:type="dxa" w:w="3254"/>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Registro original y evidencia de la fuente</w:t>
            </w:r>
          </w:p>
        </w:tc>
      </w:tr>
      <w:tr>
        <w:trPr>
          <w:cantSplit/>
        </w:trPr>
        <w:tc>
          <w:tcPr>
            <w:tcW w:type="dxa" w:w="1613"/>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O2 Postest</w:t>
            </w:r>
          </w:p>
        </w:tc>
        <w:tc>
          <w:tcPr>
            <w:tcW w:type="dxa" w:w="506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Registrar CD de un período posterior de igual duración para comparar el cambio.</w:t>
            </w:r>
          </w:p>
        </w:tc>
        <w:tc>
          <w:tcPr>
            <w:tcW w:type="dxa" w:w="3254"/>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Registro posterior y evidencia de la fuente</w:t>
            </w:r>
          </w:p>
        </w:tc>
      </w:tr>
    </w:tbl>
    <w:p>
      <w:pPr>
        <w:spacing w:before="80" w:after="100" w:line="264" w:lineRule="auto"/>
      </w:pPr>
      <w:r>
        <w:rPr>
          <w:rFonts w:ascii="Arial" w:hAnsi="Arial"/>
          <w:b/>
          <w:i/>
          <w:color w:val="56616F"/>
          <w:sz w:val="17"/>
        </w:rPr>
        <w:t xml:space="preserve">Fuente. </w:t>
      </w:r>
      <w:r>
        <w:rPr>
          <w:rFonts w:ascii="Arial" w:hAnsi="Arial"/>
          <w:i/>
          <w:color w:val="56616F"/>
          <w:sz w:val="17"/>
        </w:rPr>
        <w:t>Kardex oficial del minimarket y reporte de ventas consolidado del mismo período.</w:t>
      </w:r>
    </w:p>
    <w:p>
      <w:r>
        <w:br w:type="page"/>
      </w:r>
    </w:p>
    <w:p>
      <w:pPr>
        <w:pStyle w:val="Heading1"/>
        <w:keepNext/>
        <w:spacing w:before="200" w:after="80"/>
      </w:pPr>
      <w:r>
        <w:rPr>
          <w:rFonts w:ascii="Arial" w:hAnsi="Arial"/>
          <w:b/>
          <w:color w:val="000000"/>
          <w:sz w:val="22"/>
        </w:rPr>
        <w:t>Instrumento 2 Índice de salida de inventario</w:t>
      </w:r>
    </w:p>
    <w:p>
      <w:pPr>
        <w:spacing w:before="0" w:after="100" w:line="269" w:lineRule="auto"/>
      </w:pPr>
      <w:r>
        <w:rPr>
          <w:rFonts w:ascii="Arial" w:hAnsi="Arial"/>
          <w:b w:val="0"/>
          <w:i w:val="0"/>
          <w:color w:val="56616F"/>
          <w:sz w:val="18"/>
        </w:rPr>
        <w:t>Ficha para registrar el indicador con el mismo criterio en O1 Pretest y O2 Postest. Las dos mediciones deben usar igual unidad de análisis, categorías comparables y una ventana de tiempo equivalente.</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Campo</w:t>
            </w:r>
          </w:p>
        </w:tc>
        <w:tc>
          <w:tcPr>
            <w:tcW w:type="dxa" w:w="7459"/>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Registro</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Indicador</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Índice de salida de inventario</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Fórmula</w:t>
            </w:r>
          </w:p>
        </w:tc>
        <w:tc>
          <w:tcPr>
            <w:tcW w:type="dxa" w:w="745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ISI = CD / (SI + EN) x 100</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Definición</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Proporción del stock disponible que salió durante el período evaluado.</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Unidad de medida</w:t>
            </w:r>
          </w:p>
        </w:tc>
        <w:tc>
          <w:tcPr>
            <w:tcW w:type="dxa" w:w="745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Porcentaje</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Fuente principal</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Kardex oficial con stock inicial, entradas y stock final</w:t>
            </w:r>
          </w:p>
        </w:tc>
      </w:tr>
    </w:tbl>
    <w:p>
      <w:pPr>
        <w:spacing w:before="0" w:after="100" w:line="269" w:lineRule="auto"/>
      </w:pPr>
      <w:r>
        <w:rPr>
          <w:rFonts w:ascii="Arial" w:hAnsi="Arial"/>
          <w:b w:val="0"/>
          <w:i w:val="0"/>
          <w:color w:val="1F2933"/>
          <w:sz w:val="18"/>
        </w:rPr>
        <w:t>El índice muestra qué parte de la mercadería disponible se convirtió en salida. CD debe provenir del mismo balance de inventario y del mismo período registrado en esta ficha.</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131"/>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Campo</w:t>
            </w:r>
          </w:p>
        </w:tc>
        <w:tc>
          <w:tcPr>
            <w:tcW w:type="dxa" w:w="4810"/>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Qué debe registrarse</w:t>
            </w:r>
          </w:p>
        </w:tc>
        <w:tc>
          <w:tcPr>
            <w:tcW w:type="dxa" w:w="2995"/>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Uso en el indicador</w:t>
            </w:r>
          </w:p>
        </w:tc>
      </w:tr>
      <w:tr>
        <w:trPr>
          <w:cantSplit/>
        </w:trPr>
        <w:tc>
          <w:tcPr>
            <w:tcW w:type="dxa" w:w="213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Período</w:t>
            </w:r>
          </w:p>
        </w:tc>
        <w:tc>
          <w:tcPr>
            <w:tcW w:type="dxa" w:w="4810"/>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Fecha de inicio y fecha de cierre de la medición</w:t>
            </w:r>
          </w:p>
        </w:tc>
        <w:tc>
          <w:tcPr>
            <w:tcW w:type="dxa" w:w="2995"/>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Asegura comparabilidad</w:t>
            </w:r>
          </w:p>
        </w:tc>
      </w:tr>
      <w:tr>
        <w:trPr>
          <w:cantSplit/>
        </w:trPr>
        <w:tc>
          <w:tcPr>
            <w:tcW w:type="dxa" w:w="2131"/>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Producto o categoría</w:t>
            </w:r>
          </w:p>
        </w:tc>
        <w:tc>
          <w:tcPr>
            <w:tcW w:type="dxa" w:w="4810"/>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Código o nombre y categoría comercial</w:t>
            </w:r>
          </w:p>
        </w:tc>
        <w:tc>
          <w:tcPr>
            <w:tcW w:type="dxa" w:w="2995"/>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Define el nivel de consolidación</w:t>
            </w:r>
          </w:p>
        </w:tc>
      </w:tr>
      <w:tr>
        <w:trPr>
          <w:cantSplit/>
        </w:trPr>
        <w:tc>
          <w:tcPr>
            <w:tcW w:type="dxa" w:w="213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SI</w:t>
            </w:r>
          </w:p>
        </w:tc>
        <w:tc>
          <w:tcPr>
            <w:tcW w:type="dxa" w:w="4810"/>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Stock inicial</w:t>
            </w:r>
          </w:p>
        </w:tc>
        <w:tc>
          <w:tcPr>
            <w:tcW w:type="dxa" w:w="2995"/>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Parte del denominador</w:t>
            </w:r>
          </w:p>
        </w:tc>
      </w:tr>
      <w:tr>
        <w:trPr>
          <w:cantSplit/>
        </w:trPr>
        <w:tc>
          <w:tcPr>
            <w:tcW w:type="dxa" w:w="2131"/>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EN</w:t>
            </w:r>
          </w:p>
        </w:tc>
        <w:tc>
          <w:tcPr>
            <w:tcW w:type="dxa" w:w="4810"/>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Entradas de mercadería</w:t>
            </w:r>
          </w:p>
        </w:tc>
        <w:tc>
          <w:tcPr>
            <w:tcW w:type="dxa" w:w="2995"/>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Parte del denominador</w:t>
            </w:r>
          </w:p>
        </w:tc>
      </w:tr>
      <w:tr>
        <w:trPr>
          <w:cantSplit/>
        </w:trPr>
        <w:tc>
          <w:tcPr>
            <w:tcW w:type="dxa" w:w="213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CD</w:t>
            </w:r>
          </w:p>
        </w:tc>
        <w:tc>
          <w:tcPr>
            <w:tcW w:type="dxa" w:w="4810"/>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Cantidad demandada calculada</w:t>
            </w:r>
          </w:p>
        </w:tc>
        <w:tc>
          <w:tcPr>
            <w:tcW w:type="dxa" w:w="2995"/>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Numerador</w:t>
            </w:r>
          </w:p>
        </w:tc>
      </w:tr>
      <w:tr>
        <w:trPr>
          <w:cantSplit/>
        </w:trPr>
        <w:tc>
          <w:tcPr>
            <w:tcW w:type="dxa" w:w="2131"/>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ISI</w:t>
            </w:r>
          </w:p>
        </w:tc>
        <w:tc>
          <w:tcPr>
            <w:tcW w:type="dxa" w:w="4810"/>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Resultado expresado en porcentaje</w:t>
            </w:r>
          </w:p>
        </w:tc>
        <w:tc>
          <w:tcPr>
            <w:tcW w:type="dxa" w:w="2995"/>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Mide la salida del inventario</w:t>
            </w:r>
          </w:p>
        </w:tc>
      </w:tr>
    </w:tbl>
    <w:p>
      <w:pPr>
        <w:spacing w:before="140" w:after="60" w:line="269" w:lineRule="auto"/>
      </w:pPr>
      <w:r>
        <w:rPr>
          <w:rFonts w:ascii="Arial" w:hAnsi="Arial"/>
          <w:b/>
          <w:i w:val="0"/>
          <w:color w:val="1F2933"/>
          <w:sz w:val="19"/>
        </w:rPr>
        <w:t>Aplicación por momento</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613"/>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Momento</w:t>
            </w:r>
          </w:p>
        </w:tc>
        <w:tc>
          <w:tcPr>
            <w:tcW w:type="dxa" w:w="5069"/>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Propósito de la medición</w:t>
            </w:r>
          </w:p>
        </w:tc>
        <w:tc>
          <w:tcPr>
            <w:tcW w:type="dxa" w:w="3254"/>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Fuente que se conserva</w:t>
            </w:r>
          </w:p>
        </w:tc>
      </w:tr>
      <w:tr>
        <w:trPr>
          <w:cantSplit/>
        </w:trPr>
        <w:tc>
          <w:tcPr>
            <w:tcW w:type="dxa" w:w="1613"/>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O1 Pretest</w:t>
            </w:r>
          </w:p>
        </w:tc>
        <w:tc>
          <w:tcPr>
            <w:tcW w:type="dxa" w:w="506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Calcular ISI con el kardex del período previo a la intervención.</w:t>
            </w:r>
          </w:p>
        </w:tc>
        <w:tc>
          <w:tcPr>
            <w:tcW w:type="dxa" w:w="3254"/>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Registro original y evidencia de la fuente</w:t>
            </w:r>
          </w:p>
        </w:tc>
      </w:tr>
      <w:tr>
        <w:trPr>
          <w:cantSplit/>
        </w:trPr>
        <w:tc>
          <w:tcPr>
            <w:tcW w:type="dxa" w:w="1613"/>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O2 Postest</w:t>
            </w:r>
          </w:p>
        </w:tc>
        <w:tc>
          <w:tcPr>
            <w:tcW w:type="dxa" w:w="506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Calcular ISI con el kardex del período posterior, usando la misma duración.</w:t>
            </w:r>
          </w:p>
        </w:tc>
        <w:tc>
          <w:tcPr>
            <w:tcW w:type="dxa" w:w="3254"/>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Registro posterior y evidencia de la fuente</w:t>
            </w:r>
          </w:p>
        </w:tc>
      </w:tr>
    </w:tbl>
    <w:p>
      <w:pPr>
        <w:spacing w:before="80" w:after="100" w:line="264" w:lineRule="auto"/>
      </w:pPr>
      <w:r>
        <w:rPr>
          <w:rFonts w:ascii="Arial" w:hAnsi="Arial"/>
          <w:b/>
          <w:i/>
          <w:color w:val="56616F"/>
          <w:sz w:val="17"/>
        </w:rPr>
        <w:t xml:space="preserve">Control de cálculo. </w:t>
      </w:r>
      <w:r>
        <w:rPr>
          <w:rFonts w:ascii="Arial" w:hAnsi="Arial"/>
          <w:i/>
          <w:color w:val="56616F"/>
          <w:sz w:val="17"/>
        </w:rPr>
        <w:t>El porcentaje debe calcularse por producto o categoría antes de elaborar el consolidado del período.</w:t>
      </w:r>
    </w:p>
    <w:p>
      <w:r>
        <w:br w:type="page"/>
      </w:r>
    </w:p>
    <w:p>
      <w:pPr>
        <w:pStyle w:val="Heading1"/>
        <w:keepNext/>
        <w:spacing w:before="200" w:after="80"/>
      </w:pPr>
      <w:r>
        <w:rPr>
          <w:rFonts w:ascii="Arial" w:hAnsi="Arial"/>
          <w:b/>
          <w:color w:val="000000"/>
          <w:sz w:val="22"/>
        </w:rPr>
        <w:t>Instrumento 3 Tasa de quiebre de stock</w:t>
      </w:r>
    </w:p>
    <w:p>
      <w:pPr>
        <w:spacing w:before="0" w:after="100" w:line="269" w:lineRule="auto"/>
      </w:pPr>
      <w:r>
        <w:rPr>
          <w:rFonts w:ascii="Arial" w:hAnsi="Arial"/>
          <w:b w:val="0"/>
          <w:i w:val="0"/>
          <w:color w:val="56616F"/>
          <w:sz w:val="18"/>
        </w:rPr>
        <w:t>Ficha para registrar el indicador con el mismo criterio en O1 Pretest y O2 Postest. Las dos mediciones deben usar igual unidad de análisis, categorías comparables y una ventana de tiempo equivalente.</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Campo</w:t>
            </w:r>
          </w:p>
        </w:tc>
        <w:tc>
          <w:tcPr>
            <w:tcW w:type="dxa" w:w="7459"/>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Registro</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Indicador</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Tasa de quiebre de stock</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Fórmula</w:t>
            </w:r>
          </w:p>
        </w:tc>
        <w:tc>
          <w:tcPr>
            <w:tcW w:type="dxa" w:w="745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TQS = (DQS / DD) x 100</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Definición</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Porcentaje de días en que el producto o categoría no tuvo stock disponible.</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Unidad de medida</w:t>
            </w:r>
          </w:p>
        </w:tc>
        <w:tc>
          <w:tcPr>
            <w:tcW w:type="dxa" w:w="745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Porcentaje</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Fuente principal</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Kardex oficial o control diario de existencias</w:t>
            </w:r>
          </w:p>
        </w:tc>
      </w:tr>
    </w:tbl>
    <w:p>
      <w:pPr>
        <w:spacing w:before="0" w:after="100" w:line="269" w:lineRule="auto"/>
      </w:pPr>
      <w:r>
        <w:rPr>
          <w:rFonts w:ascii="Arial" w:hAnsi="Arial"/>
          <w:b w:val="0"/>
          <w:i w:val="0"/>
          <w:color w:val="1F2933"/>
          <w:sz w:val="18"/>
        </w:rPr>
        <w:t>La tasa permite identificar la frecuencia de desabastecimiento. Un día cuenta como quiebre cuando el registro de inventario evidencia stock agotado para el producto o categoría evaluada.</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131"/>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Campo</w:t>
            </w:r>
          </w:p>
        </w:tc>
        <w:tc>
          <w:tcPr>
            <w:tcW w:type="dxa" w:w="4810"/>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Qué debe registrarse</w:t>
            </w:r>
          </w:p>
        </w:tc>
        <w:tc>
          <w:tcPr>
            <w:tcW w:type="dxa" w:w="2995"/>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Uso en el indicador</w:t>
            </w:r>
          </w:p>
        </w:tc>
      </w:tr>
      <w:tr>
        <w:trPr>
          <w:cantSplit/>
        </w:trPr>
        <w:tc>
          <w:tcPr>
            <w:tcW w:type="dxa" w:w="213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Período</w:t>
            </w:r>
          </w:p>
        </w:tc>
        <w:tc>
          <w:tcPr>
            <w:tcW w:type="dxa" w:w="4810"/>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Fecha de inicio y fecha de cierre</w:t>
            </w:r>
          </w:p>
        </w:tc>
        <w:tc>
          <w:tcPr>
            <w:tcW w:type="dxa" w:w="2995"/>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Define los días evaluados</w:t>
            </w:r>
          </w:p>
        </w:tc>
      </w:tr>
      <w:tr>
        <w:trPr>
          <w:cantSplit/>
        </w:trPr>
        <w:tc>
          <w:tcPr>
            <w:tcW w:type="dxa" w:w="2131"/>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Producto o categoría</w:t>
            </w:r>
          </w:p>
        </w:tc>
        <w:tc>
          <w:tcPr>
            <w:tcW w:type="dxa" w:w="4810"/>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Código o nombre y categoría comercial</w:t>
            </w:r>
          </w:p>
        </w:tc>
        <w:tc>
          <w:tcPr>
            <w:tcW w:type="dxa" w:w="2995"/>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Identifica el objeto medido</w:t>
            </w:r>
          </w:p>
        </w:tc>
      </w:tr>
      <w:tr>
        <w:trPr>
          <w:cantSplit/>
        </w:trPr>
        <w:tc>
          <w:tcPr>
            <w:tcW w:type="dxa" w:w="213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DQS</w:t>
            </w:r>
          </w:p>
        </w:tc>
        <w:tc>
          <w:tcPr>
            <w:tcW w:type="dxa" w:w="4810"/>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Número de días con stock agotado</w:t>
            </w:r>
          </w:p>
        </w:tc>
        <w:tc>
          <w:tcPr>
            <w:tcW w:type="dxa" w:w="2995"/>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Numerador</w:t>
            </w:r>
          </w:p>
        </w:tc>
      </w:tr>
      <w:tr>
        <w:trPr>
          <w:cantSplit/>
        </w:trPr>
        <w:tc>
          <w:tcPr>
            <w:tcW w:type="dxa" w:w="2131"/>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DD</w:t>
            </w:r>
          </w:p>
        </w:tc>
        <w:tc>
          <w:tcPr>
            <w:tcW w:type="dxa" w:w="4810"/>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Número total de días observados</w:t>
            </w:r>
          </w:p>
        </w:tc>
        <w:tc>
          <w:tcPr>
            <w:tcW w:type="dxa" w:w="2995"/>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Denominador</w:t>
            </w:r>
          </w:p>
        </w:tc>
      </w:tr>
      <w:tr>
        <w:trPr>
          <w:cantSplit/>
        </w:trPr>
        <w:tc>
          <w:tcPr>
            <w:tcW w:type="dxa" w:w="213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TQS</w:t>
            </w:r>
          </w:p>
        </w:tc>
        <w:tc>
          <w:tcPr>
            <w:tcW w:type="dxa" w:w="4810"/>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Resultado expresado en porcentaje</w:t>
            </w:r>
          </w:p>
        </w:tc>
        <w:tc>
          <w:tcPr>
            <w:tcW w:type="dxa" w:w="2995"/>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Mide el desabastecimiento</w:t>
            </w:r>
          </w:p>
        </w:tc>
      </w:tr>
    </w:tbl>
    <w:p>
      <w:pPr>
        <w:spacing w:before="140" w:after="60" w:line="269" w:lineRule="auto"/>
      </w:pPr>
      <w:r>
        <w:rPr>
          <w:rFonts w:ascii="Arial" w:hAnsi="Arial"/>
          <w:b/>
          <w:i w:val="0"/>
          <w:color w:val="1F2933"/>
          <w:sz w:val="19"/>
        </w:rPr>
        <w:t>Aplicación por momento</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613"/>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Momento</w:t>
            </w:r>
          </w:p>
        </w:tc>
        <w:tc>
          <w:tcPr>
            <w:tcW w:type="dxa" w:w="5069"/>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Propósito de la medición</w:t>
            </w:r>
          </w:p>
        </w:tc>
        <w:tc>
          <w:tcPr>
            <w:tcW w:type="dxa" w:w="3254"/>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Fuente que se conserva</w:t>
            </w:r>
          </w:p>
        </w:tc>
      </w:tr>
      <w:tr>
        <w:trPr>
          <w:cantSplit/>
        </w:trPr>
        <w:tc>
          <w:tcPr>
            <w:tcW w:type="dxa" w:w="1613"/>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O1 Pretest</w:t>
            </w:r>
          </w:p>
        </w:tc>
        <w:tc>
          <w:tcPr>
            <w:tcW w:type="dxa" w:w="506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Contar los días sin stock en el período anterior a la intervención.</w:t>
            </w:r>
          </w:p>
        </w:tc>
        <w:tc>
          <w:tcPr>
            <w:tcW w:type="dxa" w:w="3254"/>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Registro original y evidencia de la fuente</w:t>
            </w:r>
          </w:p>
        </w:tc>
      </w:tr>
      <w:tr>
        <w:trPr>
          <w:cantSplit/>
        </w:trPr>
        <w:tc>
          <w:tcPr>
            <w:tcW w:type="dxa" w:w="1613"/>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O2 Postest</w:t>
            </w:r>
          </w:p>
        </w:tc>
        <w:tc>
          <w:tcPr>
            <w:tcW w:type="dxa" w:w="506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Contar los días sin stock en un período posterior de igual duración.</w:t>
            </w:r>
          </w:p>
        </w:tc>
        <w:tc>
          <w:tcPr>
            <w:tcW w:type="dxa" w:w="3254"/>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Registro posterior y evidencia de la fuente</w:t>
            </w:r>
          </w:p>
        </w:tc>
      </w:tr>
    </w:tbl>
    <w:p>
      <w:pPr>
        <w:spacing w:before="80" w:after="100" w:line="264" w:lineRule="auto"/>
      </w:pPr>
      <w:r>
        <w:rPr>
          <w:rFonts w:ascii="Arial" w:hAnsi="Arial"/>
          <w:b/>
          <w:i/>
          <w:color w:val="56616F"/>
          <w:sz w:val="17"/>
        </w:rPr>
        <w:t xml:space="preserve">Control de fuente. </w:t>
      </w:r>
      <w:r>
        <w:rPr>
          <w:rFonts w:ascii="Arial" w:hAnsi="Arial"/>
          <w:i/>
          <w:color w:val="56616F"/>
          <w:sz w:val="17"/>
        </w:rPr>
        <w:t>Las ventas no permiten inferir por sí solas un quiebre de stock; se requiere el registro de existencia o el kardex.</w:t>
      </w:r>
    </w:p>
    <w:p>
      <w:r>
        <w:br w:type="page"/>
      </w:r>
    </w:p>
    <w:p>
      <w:pPr>
        <w:pStyle w:val="Heading1"/>
        <w:keepNext/>
        <w:spacing w:before="200" w:after="80"/>
      </w:pPr>
      <w:r>
        <w:rPr>
          <w:rFonts w:ascii="Arial" w:hAnsi="Arial"/>
          <w:b/>
          <w:color w:val="000000"/>
          <w:sz w:val="22"/>
        </w:rPr>
        <w:t>Instrumento 4 Estacionalidad</w:t>
      </w:r>
    </w:p>
    <w:p>
      <w:pPr>
        <w:spacing w:before="0" w:after="100" w:line="269" w:lineRule="auto"/>
      </w:pPr>
      <w:r>
        <w:rPr>
          <w:rFonts w:ascii="Arial" w:hAnsi="Arial"/>
          <w:b w:val="0"/>
          <w:i w:val="0"/>
          <w:color w:val="56616F"/>
          <w:sz w:val="18"/>
        </w:rPr>
        <w:t>Ficha para registrar el indicador con el mismo criterio en O1 Pretest y O2 Postest. Las dos mediciones deben usar igual unidad de análisis, categorías comparables y una ventana de tiempo equivalente.</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Campo</w:t>
            </w:r>
          </w:p>
        </w:tc>
        <w:tc>
          <w:tcPr>
            <w:tcW w:type="dxa" w:w="7459"/>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Registro</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Indicador</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Índice estacional</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Fórmula</w:t>
            </w:r>
          </w:p>
        </w:tc>
        <w:tc>
          <w:tcPr>
            <w:tcW w:type="dxa" w:w="745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IE = VD / VPM</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Definición</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Relación entre las ventas del período observado y el promedio de ventas del período de referencia.</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Unidad de medida</w:t>
            </w:r>
          </w:p>
        </w:tc>
        <w:tc>
          <w:tcPr>
            <w:tcW w:type="dxa" w:w="745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Índice</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Fuente principal</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Historial de demanda consolidado por fecha y categoría</w:t>
            </w:r>
          </w:p>
        </w:tc>
      </w:tr>
    </w:tbl>
    <w:p>
      <w:pPr>
        <w:spacing w:before="0" w:after="100" w:line="269" w:lineRule="auto"/>
      </w:pPr>
      <w:r>
        <w:rPr>
          <w:rFonts w:ascii="Arial" w:hAnsi="Arial"/>
          <w:b w:val="0"/>
          <w:i w:val="0"/>
          <w:color w:val="1F2933"/>
          <w:sz w:val="18"/>
        </w:rPr>
        <w:t>El índice estacional permite identificar si la demanda observada está por encima o por debajo de su comportamiento promedio. La definición del período de referencia debe conservarse igual en O1 y O2.</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131"/>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Campo</w:t>
            </w:r>
          </w:p>
        </w:tc>
        <w:tc>
          <w:tcPr>
            <w:tcW w:type="dxa" w:w="4810"/>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Qué debe registrarse</w:t>
            </w:r>
          </w:p>
        </w:tc>
        <w:tc>
          <w:tcPr>
            <w:tcW w:type="dxa" w:w="2995"/>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Uso en el indicador</w:t>
            </w:r>
          </w:p>
        </w:tc>
      </w:tr>
      <w:tr>
        <w:trPr>
          <w:cantSplit/>
        </w:trPr>
        <w:tc>
          <w:tcPr>
            <w:tcW w:type="dxa" w:w="213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Período observado</w:t>
            </w:r>
          </w:p>
        </w:tc>
        <w:tc>
          <w:tcPr>
            <w:tcW w:type="dxa" w:w="4810"/>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Fechas de la ventana que se evalúa</w:t>
            </w:r>
          </w:p>
        </w:tc>
        <w:tc>
          <w:tcPr>
            <w:tcW w:type="dxa" w:w="2995"/>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Define VD</w:t>
            </w:r>
          </w:p>
        </w:tc>
      </w:tr>
      <w:tr>
        <w:trPr>
          <w:cantSplit/>
        </w:trPr>
        <w:tc>
          <w:tcPr>
            <w:tcW w:type="dxa" w:w="2131"/>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Período de referencia</w:t>
            </w:r>
          </w:p>
        </w:tc>
        <w:tc>
          <w:tcPr>
            <w:tcW w:type="dxa" w:w="4810"/>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Fechas usadas para calcular el promedio comparable</w:t>
            </w:r>
          </w:p>
        </w:tc>
        <w:tc>
          <w:tcPr>
            <w:tcW w:type="dxa" w:w="2995"/>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Define VPM</w:t>
            </w:r>
          </w:p>
        </w:tc>
      </w:tr>
      <w:tr>
        <w:trPr>
          <w:cantSplit/>
        </w:trPr>
        <w:tc>
          <w:tcPr>
            <w:tcW w:type="dxa" w:w="213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Producto o categoría</w:t>
            </w:r>
          </w:p>
        </w:tc>
        <w:tc>
          <w:tcPr>
            <w:tcW w:type="dxa" w:w="4810"/>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Nombre o categoría comercial</w:t>
            </w:r>
          </w:p>
        </w:tc>
        <w:tc>
          <w:tcPr>
            <w:tcW w:type="dxa" w:w="2995"/>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Permite consolidar ventas</w:t>
            </w:r>
          </w:p>
        </w:tc>
      </w:tr>
      <w:tr>
        <w:trPr>
          <w:cantSplit/>
        </w:trPr>
        <w:tc>
          <w:tcPr>
            <w:tcW w:type="dxa" w:w="2131"/>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VD</w:t>
            </w:r>
          </w:p>
        </w:tc>
        <w:tc>
          <w:tcPr>
            <w:tcW w:type="dxa" w:w="4810"/>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Ventas del período observado</w:t>
            </w:r>
          </w:p>
        </w:tc>
        <w:tc>
          <w:tcPr>
            <w:tcW w:type="dxa" w:w="2995"/>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Numerador</w:t>
            </w:r>
          </w:p>
        </w:tc>
      </w:tr>
      <w:tr>
        <w:trPr>
          <w:cantSplit/>
        </w:trPr>
        <w:tc>
          <w:tcPr>
            <w:tcW w:type="dxa" w:w="213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VPM</w:t>
            </w:r>
          </w:p>
        </w:tc>
        <w:tc>
          <w:tcPr>
            <w:tcW w:type="dxa" w:w="4810"/>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Promedio de ventas del período de referencia</w:t>
            </w:r>
          </w:p>
        </w:tc>
        <w:tc>
          <w:tcPr>
            <w:tcW w:type="dxa" w:w="2995"/>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Denominador</w:t>
            </w:r>
          </w:p>
        </w:tc>
      </w:tr>
      <w:tr>
        <w:trPr>
          <w:cantSplit/>
        </w:trPr>
        <w:tc>
          <w:tcPr>
            <w:tcW w:type="dxa" w:w="2131"/>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IE</w:t>
            </w:r>
          </w:p>
        </w:tc>
        <w:tc>
          <w:tcPr>
            <w:tcW w:type="dxa" w:w="4810"/>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Resultado del cociente VD / VPM</w:t>
            </w:r>
          </w:p>
        </w:tc>
        <w:tc>
          <w:tcPr>
            <w:tcW w:type="dxa" w:w="2995"/>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Mide el comportamiento estacional</w:t>
            </w:r>
          </w:p>
        </w:tc>
      </w:tr>
    </w:tbl>
    <w:p>
      <w:pPr>
        <w:spacing w:before="140" w:after="60" w:line="269" w:lineRule="auto"/>
      </w:pPr>
      <w:r>
        <w:rPr>
          <w:rFonts w:ascii="Arial" w:hAnsi="Arial"/>
          <w:b/>
          <w:i w:val="0"/>
          <w:color w:val="1F2933"/>
          <w:sz w:val="19"/>
        </w:rPr>
        <w:t>Aplicación por momento</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613"/>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Momento</w:t>
            </w:r>
          </w:p>
        </w:tc>
        <w:tc>
          <w:tcPr>
            <w:tcW w:type="dxa" w:w="5069"/>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Propósito de la medición</w:t>
            </w:r>
          </w:p>
        </w:tc>
        <w:tc>
          <w:tcPr>
            <w:tcW w:type="dxa" w:w="3254"/>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Fuente que se conserva</w:t>
            </w:r>
          </w:p>
        </w:tc>
      </w:tr>
      <w:tr>
        <w:trPr>
          <w:cantSplit/>
        </w:trPr>
        <w:tc>
          <w:tcPr>
            <w:tcW w:type="dxa" w:w="1613"/>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O1 Pretest</w:t>
            </w:r>
          </w:p>
        </w:tc>
        <w:tc>
          <w:tcPr>
            <w:tcW w:type="dxa" w:w="506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Calcular IE sobre un período anterior a la intervención con su referencia definida.</w:t>
            </w:r>
          </w:p>
        </w:tc>
        <w:tc>
          <w:tcPr>
            <w:tcW w:type="dxa" w:w="3254"/>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Registro original y evidencia de la fuente</w:t>
            </w:r>
          </w:p>
        </w:tc>
      </w:tr>
      <w:tr>
        <w:trPr>
          <w:cantSplit/>
        </w:trPr>
        <w:tc>
          <w:tcPr>
            <w:tcW w:type="dxa" w:w="1613"/>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O2 Postest</w:t>
            </w:r>
          </w:p>
        </w:tc>
        <w:tc>
          <w:tcPr>
            <w:tcW w:type="dxa" w:w="506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Calcular IE sobre un período posterior de igual duración y criterio de referencia.</w:t>
            </w:r>
          </w:p>
        </w:tc>
        <w:tc>
          <w:tcPr>
            <w:tcW w:type="dxa" w:w="3254"/>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Registro posterior y evidencia de la fuente</w:t>
            </w:r>
          </w:p>
        </w:tc>
      </w:tr>
    </w:tbl>
    <w:p>
      <w:pPr>
        <w:spacing w:before="80" w:after="100" w:line="264" w:lineRule="auto"/>
      </w:pPr>
      <w:r>
        <w:rPr>
          <w:rFonts w:ascii="Arial" w:hAnsi="Arial"/>
          <w:b/>
          <w:i/>
          <w:color w:val="56616F"/>
          <w:sz w:val="17"/>
        </w:rPr>
        <w:t xml:space="preserve">Interpretación. </w:t>
      </w:r>
      <w:r>
        <w:rPr>
          <w:rFonts w:ascii="Arial" w:hAnsi="Arial"/>
          <w:i/>
          <w:color w:val="56616F"/>
          <w:sz w:val="17"/>
        </w:rPr>
        <w:t>Un índice mayor que 1 indica ventas por encima del promedio de referencia; un índice menor que 1 indica ventas por debajo de ese promedio.</w:t>
      </w:r>
    </w:p>
    <w:p>
      <w:r>
        <w:br w:type="page"/>
      </w:r>
    </w:p>
    <w:p>
      <w:pPr>
        <w:pStyle w:val="Heading1"/>
        <w:keepNext/>
        <w:spacing w:before="200" w:after="80"/>
      </w:pPr>
      <w:r>
        <w:rPr>
          <w:rFonts w:ascii="Arial" w:hAnsi="Arial"/>
          <w:b/>
          <w:color w:val="000000"/>
          <w:sz w:val="22"/>
        </w:rPr>
        <w:t>Instrumento 5 Error de pronóstico</w:t>
      </w:r>
    </w:p>
    <w:p>
      <w:pPr>
        <w:spacing w:before="0" w:after="100" w:line="269" w:lineRule="auto"/>
      </w:pPr>
      <w:r>
        <w:rPr>
          <w:rFonts w:ascii="Arial" w:hAnsi="Arial"/>
          <w:b w:val="0"/>
          <w:i w:val="0"/>
          <w:color w:val="56616F"/>
          <w:sz w:val="18"/>
        </w:rPr>
        <w:t>Ficha para registrar el indicador con el mismo criterio en O1 Pretest y O2 Postest. Las dos mediciones deben usar igual unidad de análisis, categorías comparables y una ventana de tiempo equivalente.</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Campo</w:t>
            </w:r>
          </w:p>
        </w:tc>
        <w:tc>
          <w:tcPr>
            <w:tcW w:type="dxa" w:w="7459"/>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Registro</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Indicador</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Error de pronóstico</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Fórmula principal</w:t>
            </w:r>
          </w:p>
        </w:tc>
        <w:tc>
          <w:tcPr>
            <w:tcW w:type="dxa" w:w="745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MAPE = (100 / n) x suma de |(DR - DP) / DR|</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Definición</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Error porcentual medio entre la demanda real y la demanda pronosticada.</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Unidad de medida</w:t>
            </w:r>
          </w:p>
        </w:tc>
        <w:tc>
          <w:tcPr>
            <w:tcW w:type="dxa" w:w="745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Porcentaje</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Fuente principal</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Exportación del Postest del programa y ventas reales posteriores al corte</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Métricas complementarias</w:t>
            </w:r>
          </w:p>
        </w:tc>
        <w:tc>
          <w:tcPr>
            <w:tcW w:type="dxa" w:w="745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WAPE, MAE y RMSE; un valor menor representa menor error</w:t>
            </w:r>
          </w:p>
        </w:tc>
      </w:tr>
    </w:tbl>
    <w:p>
      <w:pPr>
        <w:spacing w:before="0" w:after="100" w:line="269" w:lineRule="auto"/>
      </w:pPr>
      <w:r>
        <w:rPr>
          <w:rFonts w:ascii="Arial" w:hAnsi="Arial"/>
          <w:b w:val="0"/>
          <w:i w:val="0"/>
          <w:color w:val="1F2933"/>
          <w:sz w:val="18"/>
        </w:rPr>
        <w:t>Para el Postest, el programa entrena solo con datos hasta la fecha de corte, pronostica los días posteriores y compara el pronóstico con las ventas reales de esos mismos días. Las métricas internas del entrenamiento no deben registrarse como Postest.</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131"/>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Campo</w:t>
            </w:r>
          </w:p>
        </w:tc>
        <w:tc>
          <w:tcPr>
            <w:tcW w:type="dxa" w:w="4810"/>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Qué debe registrarse</w:t>
            </w:r>
          </w:p>
        </w:tc>
        <w:tc>
          <w:tcPr>
            <w:tcW w:type="dxa" w:w="2995"/>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Uso en el indicador</w:t>
            </w:r>
          </w:p>
        </w:tc>
      </w:tr>
      <w:tr>
        <w:trPr>
          <w:cantSplit/>
        </w:trPr>
        <w:tc>
          <w:tcPr>
            <w:tcW w:type="dxa" w:w="213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Fecha de corte</w:t>
            </w:r>
          </w:p>
        </w:tc>
        <w:tc>
          <w:tcPr>
            <w:tcW w:type="dxa" w:w="4810"/>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Última fecha disponible para entrenar</w:t>
            </w:r>
          </w:p>
        </w:tc>
        <w:tc>
          <w:tcPr>
            <w:tcW w:type="dxa" w:w="2995"/>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Separa entrenamiento y evaluación</w:t>
            </w:r>
          </w:p>
        </w:tc>
      </w:tr>
      <w:tr>
        <w:trPr>
          <w:cantSplit/>
        </w:trPr>
        <w:tc>
          <w:tcPr>
            <w:tcW w:type="dxa" w:w="2131"/>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Horizonte</w:t>
            </w:r>
          </w:p>
        </w:tc>
        <w:tc>
          <w:tcPr>
            <w:tcW w:type="dxa" w:w="4810"/>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Número de días que se pronostican</w:t>
            </w:r>
          </w:p>
        </w:tc>
        <w:tc>
          <w:tcPr>
            <w:tcW w:type="dxa" w:w="2995"/>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Define el período evaluado</w:t>
            </w:r>
          </w:p>
        </w:tc>
      </w:tr>
      <w:tr>
        <w:trPr>
          <w:cantSplit/>
        </w:trPr>
        <w:tc>
          <w:tcPr>
            <w:tcW w:type="dxa" w:w="213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DR</w:t>
            </w:r>
          </w:p>
        </w:tc>
        <w:tc>
          <w:tcPr>
            <w:tcW w:type="dxa" w:w="4810"/>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Demanda real posterior al corte</w:t>
            </w:r>
          </w:p>
        </w:tc>
        <w:tc>
          <w:tcPr>
            <w:tcW w:type="dxa" w:w="2995"/>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Valor de contraste</w:t>
            </w:r>
          </w:p>
        </w:tc>
      </w:tr>
      <w:tr>
        <w:trPr>
          <w:cantSplit/>
        </w:trPr>
        <w:tc>
          <w:tcPr>
            <w:tcW w:type="dxa" w:w="2131"/>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DP</w:t>
            </w:r>
          </w:p>
        </w:tc>
        <w:tc>
          <w:tcPr>
            <w:tcW w:type="dxa" w:w="4810"/>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Demanda pronosticada por el modelo</w:t>
            </w:r>
          </w:p>
        </w:tc>
        <w:tc>
          <w:tcPr>
            <w:tcW w:type="dxa" w:w="2995"/>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Valor evaluado</w:t>
            </w:r>
          </w:p>
        </w:tc>
      </w:tr>
      <w:tr>
        <w:trPr>
          <w:cantSplit/>
        </w:trPr>
        <w:tc>
          <w:tcPr>
            <w:tcW w:type="dxa" w:w="213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n</w:t>
            </w:r>
          </w:p>
        </w:tc>
        <w:tc>
          <w:tcPr>
            <w:tcW w:type="dxa" w:w="4810"/>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Cantidad de observaciones comparadas</w:t>
            </w:r>
          </w:p>
        </w:tc>
        <w:tc>
          <w:tcPr>
            <w:tcW w:type="dxa" w:w="2995"/>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Base de cálculo del MAPE</w:t>
            </w:r>
          </w:p>
        </w:tc>
      </w:tr>
      <w:tr>
        <w:trPr>
          <w:cantSplit/>
        </w:trPr>
        <w:tc>
          <w:tcPr>
            <w:tcW w:type="dxa" w:w="2131"/>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MAPE, WAPE, MAE, RMSE</w:t>
            </w:r>
          </w:p>
        </w:tc>
        <w:tc>
          <w:tcPr>
            <w:tcW w:type="dxa" w:w="4810"/>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Métricas exportadas por el programa</w:t>
            </w:r>
          </w:p>
        </w:tc>
        <w:tc>
          <w:tcPr>
            <w:tcW w:type="dxa" w:w="2995"/>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Evalúan el error de pronóstico</w:t>
            </w:r>
          </w:p>
        </w:tc>
      </w:tr>
    </w:tbl>
    <w:p>
      <w:pPr>
        <w:spacing w:before="140" w:after="60" w:line="269" w:lineRule="auto"/>
      </w:pPr>
      <w:r>
        <w:rPr>
          <w:rFonts w:ascii="Arial" w:hAnsi="Arial"/>
          <w:b/>
          <w:i w:val="0"/>
          <w:color w:val="1F2933"/>
          <w:sz w:val="19"/>
        </w:rPr>
        <w:t>Aplicación por momento</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613"/>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Momento</w:t>
            </w:r>
          </w:p>
        </w:tc>
        <w:tc>
          <w:tcPr>
            <w:tcW w:type="dxa" w:w="5069"/>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Propósito de la medición</w:t>
            </w:r>
          </w:p>
        </w:tc>
        <w:tc>
          <w:tcPr>
            <w:tcW w:type="dxa" w:w="3254"/>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Fuente que se conserva</w:t>
            </w:r>
          </w:p>
        </w:tc>
      </w:tr>
      <w:tr>
        <w:trPr>
          <w:cantSplit/>
        </w:trPr>
        <w:tc>
          <w:tcPr>
            <w:tcW w:type="dxa" w:w="1613"/>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O1 Pretest</w:t>
            </w:r>
          </w:p>
        </w:tc>
        <w:tc>
          <w:tcPr>
            <w:tcW w:type="dxa" w:w="506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Registrar el error del método definido antes de la intervención, con sus ventas reales y período equivalente.</w:t>
            </w:r>
          </w:p>
        </w:tc>
        <w:tc>
          <w:tcPr>
            <w:tcW w:type="dxa" w:w="3254"/>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Registro original y evidencia de la fuente</w:t>
            </w:r>
          </w:p>
        </w:tc>
      </w:tr>
      <w:tr>
        <w:trPr>
          <w:cantSplit/>
        </w:trPr>
        <w:tc>
          <w:tcPr>
            <w:tcW w:type="dxa" w:w="1613"/>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O2 Postest</w:t>
            </w:r>
          </w:p>
        </w:tc>
        <w:tc>
          <w:tcPr>
            <w:tcW w:type="dxa" w:w="506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Registrar el error del modelo aplicado, con ventas reales posteriores al corte y el mismo horizonte.</w:t>
            </w:r>
          </w:p>
        </w:tc>
        <w:tc>
          <w:tcPr>
            <w:tcW w:type="dxa" w:w="3254"/>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Registro posterior y evidencia de la fuente</w:t>
            </w:r>
          </w:p>
        </w:tc>
      </w:tr>
    </w:tbl>
    <w:p>
      <w:pPr>
        <w:spacing w:before="80" w:after="100" w:line="264" w:lineRule="auto"/>
      </w:pPr>
      <w:r>
        <w:rPr>
          <w:rFonts w:ascii="Arial" w:hAnsi="Arial"/>
          <w:b/>
          <w:i/>
          <w:color w:val="56616F"/>
          <w:sz w:val="17"/>
        </w:rPr>
        <w:t xml:space="preserve">Referencia PMS-7. </w:t>
      </w:r>
      <w:r>
        <w:rPr>
          <w:rFonts w:ascii="Arial" w:hAnsi="Arial"/>
          <w:i/>
          <w:color w:val="56616F"/>
          <w:sz w:val="17"/>
        </w:rPr>
        <w:t>El programa calcula PMS-7 como comparación de desempeño. Su resultado se registra como línea base metodológica, no como O1 Pretest.</w:t>
      </w:r>
    </w:p>
    <w:p>
      <w:r>
        <w:br w:type="page"/>
      </w:r>
    </w:p>
    <w:p>
      <w:pPr>
        <w:pStyle w:val="Heading1"/>
        <w:keepNext/>
        <w:spacing w:before="200" w:after="80"/>
      </w:pPr>
      <w:r>
        <w:rPr>
          <w:rFonts w:ascii="Arial" w:hAnsi="Arial"/>
          <w:b/>
          <w:color w:val="000000"/>
          <w:sz w:val="22"/>
        </w:rPr>
        <w:t>Registro de aplicación del Postest verificable en el programa</w:t>
      </w:r>
    </w:p>
    <w:p>
      <w:pPr>
        <w:spacing w:before="0" w:after="100" w:line="269" w:lineRule="auto"/>
      </w:pPr>
      <w:r>
        <w:rPr>
          <w:rFonts w:ascii="Arial" w:hAnsi="Arial"/>
          <w:b w:val="0"/>
          <w:i w:val="0"/>
          <w:color w:val="1F2933"/>
          <w:sz w:val="20"/>
        </w:rPr>
        <w:t>La siguiente aplicación corresponde a una validación hacia adelante registrada por el sistema. El resultado se conserva en la descarga de Postest y puede repetirse con el mismo corte y horizonte.</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Campo</w:t>
            </w:r>
          </w:p>
        </w:tc>
        <w:tc>
          <w:tcPr>
            <w:tcW w:type="dxa" w:w="7459"/>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Registro</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Fecha de corte</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8 de septiembre de 2026</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Horizonte</w:t>
            </w:r>
          </w:p>
        </w:tc>
        <w:tc>
          <w:tcPr>
            <w:tcW w:type="dxa" w:w="745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7 días</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Período evaluado</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Del 9 al 15 de septiembre de 2026</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Observaciones</w:t>
            </w:r>
          </w:p>
        </w:tc>
        <w:tc>
          <w:tcPr>
            <w:tcW w:type="dxa" w:w="745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35 observaciones: 5 categorías durante 7 días</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Demanda real total</w:t>
            </w:r>
          </w:p>
        </w:tc>
        <w:tc>
          <w:tcPr>
            <w:tcW w:type="dxa" w:w="7459"/>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1,671 unidades</w:t>
            </w:r>
          </w:p>
        </w:tc>
      </w:tr>
      <w:tr>
        <w:trPr>
          <w:cantSplit/>
        </w:trPr>
        <w:tc>
          <w:tcPr>
            <w:tcW w:type="dxa" w:w="2477"/>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color w:val="FFFFFF"/>
                <w:sz w:val="17"/>
              </w:rPr>
              <w:t>Procedimiento</w:t>
            </w:r>
          </w:p>
        </w:tc>
        <w:tc>
          <w:tcPr>
            <w:tcW w:type="dxa" w:w="7459"/>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Entrenar hasta el corte, pronosticar el horizonte y comparar con las ventas reales posteriores</w:t>
            </w:r>
          </w:p>
        </w:tc>
      </w:tr>
    </w:tbl>
    <w:p>
      <w:pPr>
        <w:spacing w:before="140" w:after="60" w:line="269" w:lineRule="auto"/>
      </w:pPr>
      <w:r>
        <w:rPr>
          <w:rFonts w:ascii="Arial" w:hAnsi="Arial"/>
          <w:b/>
          <w:i w:val="0"/>
          <w:color w:val="1F2933"/>
          <w:sz w:val="19"/>
        </w:rPr>
        <w:t>Resultados del error de pronóstico</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cantSplit/>
        </w:trPr>
        <w:tc>
          <w:tcPr>
            <w:tcW w:type="dxa" w:w="2246"/>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Método</w:t>
            </w:r>
          </w:p>
        </w:tc>
        <w:tc>
          <w:tcPr>
            <w:tcW w:type="dxa" w:w="1238"/>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WAPE</w:t>
            </w:r>
          </w:p>
        </w:tc>
        <w:tc>
          <w:tcPr>
            <w:tcW w:type="dxa" w:w="1238"/>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MAPE</w:t>
            </w:r>
          </w:p>
        </w:tc>
        <w:tc>
          <w:tcPr>
            <w:tcW w:type="dxa" w:w="1238"/>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MAE</w:t>
            </w:r>
          </w:p>
        </w:tc>
        <w:tc>
          <w:tcPr>
            <w:tcW w:type="dxa" w:w="1238"/>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RMSE</w:t>
            </w:r>
          </w:p>
        </w:tc>
        <w:tc>
          <w:tcPr>
            <w:tcW w:type="dxa" w:w="2736"/>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Demanda pronosticada</w:t>
            </w:r>
          </w:p>
        </w:tc>
      </w:tr>
      <w:tr>
        <w:trPr>
          <w:cantSplit/>
        </w:trPr>
        <w:tc>
          <w:tcPr>
            <w:tcW w:type="dxa" w:w="2246"/>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shd w:fill="EDF3F8"/>
          </w:tcPr>
          <w:p>
            <w:pPr>
              <w:spacing w:before="0" w:after="0" w:line="247" w:lineRule="auto"/>
              <w:jc w:val="center"/>
            </w:pPr>
            <w:r/>
            <w:r>
              <w:rPr>
                <w:rFonts w:ascii="Arial" w:hAnsi="Arial"/>
                <w:b w:val="0"/>
                <w:color w:val="1F2933"/>
                <w:sz w:val="17"/>
              </w:rPr>
              <w:t>Modelo predictivo</w:t>
            </w:r>
          </w:p>
        </w:tc>
        <w:tc>
          <w:tcPr>
            <w:tcW w:type="dxa" w:w="1238"/>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shd w:fill="EDF3F8"/>
          </w:tcPr>
          <w:p>
            <w:pPr>
              <w:spacing w:before="0" w:after="0" w:line="247" w:lineRule="auto"/>
              <w:jc w:val="right"/>
            </w:pPr>
            <w:r/>
            <w:r>
              <w:rPr>
                <w:rFonts w:ascii="Arial" w:hAnsi="Arial"/>
                <w:b w:val="0"/>
                <w:color w:val="1F2933"/>
                <w:sz w:val="17"/>
              </w:rPr>
              <w:t>21.81%</w:t>
            </w:r>
          </w:p>
        </w:tc>
        <w:tc>
          <w:tcPr>
            <w:tcW w:type="dxa" w:w="1238"/>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shd w:fill="EDF3F8"/>
          </w:tcPr>
          <w:p>
            <w:pPr>
              <w:spacing w:before="0" w:after="0" w:line="247" w:lineRule="auto"/>
              <w:jc w:val="right"/>
            </w:pPr>
            <w:r/>
            <w:r>
              <w:rPr>
                <w:rFonts w:ascii="Arial" w:hAnsi="Arial"/>
                <w:b w:val="0"/>
                <w:color w:val="1F2933"/>
                <w:sz w:val="17"/>
              </w:rPr>
              <w:t>33.89%</w:t>
            </w:r>
          </w:p>
        </w:tc>
        <w:tc>
          <w:tcPr>
            <w:tcW w:type="dxa" w:w="1238"/>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shd w:fill="EDF3F8"/>
          </w:tcPr>
          <w:p>
            <w:pPr>
              <w:spacing w:before="0" w:after="0" w:line="247" w:lineRule="auto"/>
              <w:jc w:val="right"/>
            </w:pPr>
            <w:r/>
            <w:r>
              <w:rPr>
                <w:rFonts w:ascii="Arial" w:hAnsi="Arial"/>
                <w:b w:val="0"/>
                <w:color w:val="1F2933"/>
                <w:sz w:val="17"/>
              </w:rPr>
              <w:t>10.41</w:t>
            </w:r>
          </w:p>
        </w:tc>
        <w:tc>
          <w:tcPr>
            <w:tcW w:type="dxa" w:w="1238"/>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shd w:fill="EDF3F8"/>
          </w:tcPr>
          <w:p>
            <w:pPr>
              <w:spacing w:before="0" w:after="0" w:line="247" w:lineRule="auto"/>
              <w:jc w:val="right"/>
            </w:pPr>
            <w:r/>
            <w:r>
              <w:rPr>
                <w:rFonts w:ascii="Arial" w:hAnsi="Arial"/>
                <w:b w:val="0"/>
                <w:color w:val="1F2933"/>
                <w:sz w:val="17"/>
              </w:rPr>
              <w:t>14.17</w:t>
            </w:r>
          </w:p>
        </w:tc>
        <w:tc>
          <w:tcPr>
            <w:tcW w:type="dxa" w:w="2736"/>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shd w:fill="EDF3F8"/>
          </w:tcPr>
          <w:p>
            <w:pPr>
              <w:spacing w:before="0" w:after="0" w:line="247" w:lineRule="auto"/>
              <w:jc w:val="right"/>
            </w:pPr>
            <w:r/>
            <w:r>
              <w:rPr>
                <w:rFonts w:ascii="Arial" w:hAnsi="Arial"/>
                <w:b w:val="0"/>
                <w:color w:val="1F2933"/>
                <w:sz w:val="17"/>
              </w:rPr>
              <w:t>1,931.38</w:t>
            </w:r>
          </w:p>
        </w:tc>
      </w:tr>
      <w:tr>
        <w:trPr>
          <w:cantSplit/>
        </w:trPr>
        <w:tc>
          <w:tcPr>
            <w:tcW w:type="dxa" w:w="2246"/>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PMS-7 referencia</w:t>
            </w:r>
          </w:p>
        </w:tc>
        <w:tc>
          <w:tcPr>
            <w:tcW w:type="dxa" w:w="1238"/>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right"/>
            </w:pPr>
            <w:r/>
            <w:r>
              <w:rPr>
                <w:rFonts w:ascii="Arial" w:hAnsi="Arial"/>
                <w:b w:val="0"/>
                <w:color w:val="1F2933"/>
                <w:sz w:val="17"/>
              </w:rPr>
              <w:t>20.82%</w:t>
            </w:r>
          </w:p>
        </w:tc>
        <w:tc>
          <w:tcPr>
            <w:tcW w:type="dxa" w:w="1238"/>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right"/>
            </w:pPr>
            <w:r/>
            <w:r>
              <w:rPr>
                <w:rFonts w:ascii="Arial" w:hAnsi="Arial"/>
                <w:b w:val="0"/>
                <w:color w:val="1F2933"/>
                <w:sz w:val="17"/>
              </w:rPr>
              <w:t>31.54%</w:t>
            </w:r>
          </w:p>
        </w:tc>
        <w:tc>
          <w:tcPr>
            <w:tcW w:type="dxa" w:w="1238"/>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right"/>
            </w:pPr>
            <w:r/>
            <w:r>
              <w:rPr>
                <w:rFonts w:ascii="Arial" w:hAnsi="Arial"/>
                <w:b w:val="0"/>
                <w:color w:val="1F2933"/>
                <w:sz w:val="17"/>
              </w:rPr>
              <w:t>9.94</w:t>
            </w:r>
          </w:p>
        </w:tc>
        <w:tc>
          <w:tcPr>
            <w:tcW w:type="dxa" w:w="1238"/>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right"/>
            </w:pPr>
            <w:r/>
            <w:r>
              <w:rPr>
                <w:rFonts w:ascii="Arial" w:hAnsi="Arial"/>
                <w:b w:val="0"/>
                <w:color w:val="1F2933"/>
                <w:sz w:val="17"/>
              </w:rPr>
              <w:t>13.26</w:t>
            </w:r>
          </w:p>
        </w:tc>
        <w:tc>
          <w:tcPr>
            <w:tcW w:type="dxa" w:w="2736"/>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right"/>
            </w:pPr>
            <w:r/>
            <w:r>
              <w:rPr>
                <w:rFonts w:ascii="Arial" w:hAnsi="Arial"/>
                <w:b w:val="0"/>
                <w:color w:val="1F2933"/>
                <w:sz w:val="17"/>
              </w:rPr>
              <w:t>1,801.98</w:t>
            </w:r>
          </w:p>
        </w:tc>
      </w:tr>
    </w:tbl>
    <w:p>
      <w:pPr>
        <w:spacing w:before="80" w:after="100" w:line="264" w:lineRule="auto"/>
      </w:pPr>
      <w:r>
        <w:rPr>
          <w:rFonts w:ascii="Arial" w:hAnsi="Arial"/>
          <w:b/>
          <w:i/>
          <w:color w:val="56616F"/>
          <w:sz w:val="17"/>
        </w:rPr>
        <w:t xml:space="preserve">Resultado de esta ejecución. </w:t>
      </w:r>
      <w:r>
        <w:rPr>
          <w:rFonts w:ascii="Arial" w:hAnsi="Arial"/>
          <w:i/>
          <w:color w:val="56616F"/>
          <w:sz w:val="17"/>
        </w:rPr>
        <w:t>PMS-7 tuvo menor WAPE, MAPE, MAE y RMSE en este período. Por ello, esta única corrida no demuestra una mejora del modelo frente a la referencia.</w:t>
      </w:r>
    </w:p>
    <w:p>
      <w:pPr>
        <w:pStyle w:val="Heading1"/>
        <w:keepNext/>
        <w:spacing w:before="200" w:after="80"/>
      </w:pPr>
      <w:r>
        <w:rPr>
          <w:rFonts w:ascii="Arial" w:hAnsi="Arial"/>
          <w:b/>
          <w:color w:val="000000"/>
          <w:sz w:val="22"/>
        </w:rPr>
        <w:t>Procedimiento de verificación</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691"/>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Paso</w:t>
            </w:r>
          </w:p>
        </w:tc>
        <w:tc>
          <w:tcPr>
            <w:tcW w:type="dxa" w:w="5141"/>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Acción en el programa</w:t>
            </w:r>
          </w:p>
        </w:tc>
        <w:tc>
          <w:tcPr>
            <w:tcW w:type="dxa" w:w="3528"/>
            <w:shd w:fill="17365D"/>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color w:val="FFFFFF"/>
                <w:sz w:val="17"/>
              </w:rPr>
              <w:t>Comprobación</w:t>
            </w:r>
          </w:p>
        </w:tc>
      </w:tr>
      <w:tr>
        <w:trPr>
          <w:cantSplit/>
        </w:trPr>
        <w:tc>
          <w:tcPr>
            <w:tcW w:type="dxa" w:w="69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1</w:t>
            </w:r>
          </w:p>
        </w:tc>
        <w:tc>
          <w:tcPr>
            <w:tcW w:type="dxa" w:w="514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Seleccionar horizonte de 7 días.</w:t>
            </w:r>
          </w:p>
        </w:tc>
        <w:tc>
          <w:tcPr>
            <w:tcW w:type="dxa" w:w="3528"/>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El selector muestra 7 días.</w:t>
            </w:r>
          </w:p>
        </w:tc>
      </w:tr>
      <w:tr>
        <w:trPr>
          <w:cantSplit/>
        </w:trPr>
        <w:tc>
          <w:tcPr>
            <w:tcW w:type="dxa" w:w="691"/>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2</w:t>
            </w:r>
          </w:p>
        </w:tc>
        <w:tc>
          <w:tcPr>
            <w:tcW w:type="dxa" w:w="5141"/>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Ingresar 08/09/2026 en Corte de prueba.</w:t>
            </w:r>
          </w:p>
        </w:tc>
        <w:tc>
          <w:tcPr>
            <w:tcW w:type="dxa" w:w="3528"/>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La fecha corresponde al último día de entrenamiento.</w:t>
            </w:r>
          </w:p>
        </w:tc>
      </w:tr>
      <w:tr>
        <w:trPr>
          <w:cantSplit/>
        </w:trPr>
        <w:tc>
          <w:tcPr>
            <w:tcW w:type="dxa" w:w="69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3</w:t>
            </w:r>
          </w:p>
        </w:tc>
        <w:tc>
          <w:tcPr>
            <w:tcW w:type="dxa" w:w="514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Ir a Postest e indicadores de inventario y seleccionar Ejecutar Postest.</w:t>
            </w:r>
          </w:p>
        </w:tc>
        <w:tc>
          <w:tcPr>
            <w:tcW w:type="dxa" w:w="3528"/>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Se genera la evaluación histórica hacia adelante.</w:t>
            </w:r>
          </w:p>
        </w:tc>
      </w:tr>
      <w:tr>
        <w:trPr>
          <w:cantSplit/>
        </w:trPr>
        <w:tc>
          <w:tcPr>
            <w:tcW w:type="dxa" w:w="691"/>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4</w:t>
            </w:r>
          </w:p>
        </w:tc>
        <w:tc>
          <w:tcPr>
            <w:tcW w:type="dxa" w:w="5141"/>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Comprobar período, registros y métricas.</w:t>
            </w:r>
          </w:p>
        </w:tc>
        <w:tc>
          <w:tcPr>
            <w:tcW w:type="dxa" w:w="3528"/>
            <w:shd w:fill="F6F8FA"/>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Debe mostrar 09/09/2026 a 15/09/2026, 35 observaciones y 5 categorías.</w:t>
            </w:r>
          </w:p>
        </w:tc>
      </w:tr>
      <w:tr>
        <w:trPr>
          <w:cantSplit/>
        </w:trPr>
        <w:tc>
          <w:tcPr>
            <w:tcW w:type="dxa" w:w="69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center"/>
            </w:pPr>
            <w:r/>
            <w:r>
              <w:rPr>
                <w:rFonts w:ascii="Arial" w:hAnsi="Arial"/>
                <w:b w:val="0"/>
                <w:color w:val="1F2933"/>
                <w:sz w:val="17"/>
              </w:rPr>
              <w:t>5</w:t>
            </w:r>
          </w:p>
        </w:tc>
        <w:tc>
          <w:tcPr>
            <w:tcW w:type="dxa" w:w="5141"/>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Seleccionar Descargar Postest.</w:t>
            </w:r>
          </w:p>
        </w:tc>
        <w:tc>
          <w:tcPr>
            <w:tcW w:type="dxa" w:w="3528"/>
            <w:vAlign w:val="center"/>
            <w:tcMar>
              <w:top w:w="92" w:type="dxa"/>
              <w:start w:w="112" w:type="dxa"/>
              <w:bottom w:w="92" w:type="dxa"/>
              <w:end w:w="112" w:type="dxa"/>
            </w:tcMar>
            <w:tcBorders>
              <w:top w:val="single" w:sz="6" w:space="0" w:color="D1DAE3"/>
              <w:left w:val="single" w:sz="6" w:space="0" w:color="D1DAE3"/>
              <w:bottom w:val="single" w:sz="6" w:space="0" w:color="D1DAE3"/>
              <w:right w:val="single" w:sz="6" w:space="0" w:color="D1DAE3"/>
            </w:tcBorders>
          </w:tcPr>
          <w:p>
            <w:pPr>
              <w:spacing w:before="0" w:after="0" w:line="247" w:lineRule="auto"/>
              <w:jc w:val="left"/>
            </w:pPr>
            <w:r/>
            <w:r>
              <w:rPr>
                <w:rFonts w:ascii="Arial" w:hAnsi="Arial"/>
                <w:b w:val="0"/>
                <w:color w:val="1F2933"/>
                <w:sz w:val="17"/>
              </w:rPr>
              <w:t>El Excel debe incluir Resumen postest, Métricas categoría y Detalle diario.</w:t>
            </w:r>
          </w:p>
        </w:tc>
      </w:tr>
    </w:tbl>
    <w:p>
      <w:pPr>
        <w:spacing w:before="80" w:after="100" w:line="264" w:lineRule="auto"/>
      </w:pPr>
      <w:r>
        <w:rPr>
          <w:rFonts w:ascii="Arial" w:hAnsi="Arial"/>
          <w:b/>
          <w:i/>
          <w:color w:val="56616F"/>
          <w:sz w:val="17"/>
        </w:rPr>
        <w:t xml:space="preserve">Evidencia. </w:t>
      </w:r>
      <w:r>
        <w:rPr>
          <w:rFonts w:ascii="Arial" w:hAnsi="Arial"/>
          <w:i/>
          <w:color w:val="56616F"/>
          <w:sz w:val="17"/>
        </w:rPr>
        <w:t>La descarga de Postest conserva la fecha de corte, el período evaluado, las ventas reales, los pronósticos y las métricas. Para ISI y TQS, adjuntar además el kardex oficial del período correspondiente.</w:t>
      </w:r>
    </w:p>
    <w:sectPr w:rsidR="00FC693F" w:rsidRPr="0006063C" w:rsidSect="00034616">
      <w:footerReference w:type="default" r:id="rId9"/>
      <w:pgSz w:w="12240" w:h="15840"/>
      <w:pgMar w:top="864" w:right="1152" w:bottom="893" w:left="1152"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56616F"/>
        <w:sz w:val="16"/>
      </w:rPr>
      <w:t>Anexo 2 Instrumentos de recolección de datos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rial" w:hAnsi="Arial"/>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2 Instrumentos de recolección de datos</dc:title>
  <dc:subject>Instrumentos de Pretest y Postest para evaluación de demanda e inventario</dc:subject>
  <dc:creator>Guerrero Mora, Carlos David Elian</dc:creator>
  <cp:keywords/>
  <dc:description/>
  <cp:lastModifiedBy/>
  <cp:revision>1</cp:revision>
  <dcterms:created xsi:type="dcterms:W3CDTF">2013-12-23T23:15:00Z</dcterms:created>
  <dcterms:modified xsi:type="dcterms:W3CDTF">2013-12-23T23:15:00Z</dcterms:modified>
  <cp:category/>
</cp:coreProperties>
</file>