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28"/>
        </w:rPr>
        <w:t>Anexo 2 Instrumentos de recolección de datos</w:t>
      </w:r>
    </w:p>
    <w:p>
      <w:pPr>
        <w:spacing w:before="0" w:after="8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Este anexo reúne las cinco fichas de registro definidas para evaluar la demanda diaria por categoría de producto. Como referencia comparativa, PMS-7 se presenta como Pretest y el modelo predictivo como Postest. Ambos se contrastan con las mismas ventas reales registradas durante siete días.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La comparación es una validación histórica y respeta el orden temporal: el entrenamiento llega hasta la fecha de corte y las ventas posteriores se usan solo para evaluar el resultado. Los indicadores de inventario se dejan como ficha de registro hasta contar con el kardex oficial de la tienda.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Información de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Investigador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Lugar de estudio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Técnica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Análisis documental de ventas consolidadas y kardex oficial cuando corresponda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de corte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8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Período evaluado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Del 9 al 15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Observaciones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35 observaciones diarias: 5 categorías durante 7 días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de ventas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Historial procesado: 840 registros, 5 categorías y 43,105 unidades acumuladas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Instrumento de cantidad demandada para Pretest y Postest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Fórmula operativa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CD = suma de las ventas reales por categoría durante el período evaluado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de datos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Historial de demanda consolidado por fecha y categoría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Aplicación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La misma demanda real se utiliza para contrastar el Pretest y el Postest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69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63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082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Cantidad demandada CD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463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ABARROTES</w:t>
            </w:r>
          </w:p>
        </w:tc>
        <w:tc>
          <w:tcPr>
            <w:tcW w:type="dxa" w:w="30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330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463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BEBIDAS</w:t>
            </w:r>
          </w:p>
        </w:tc>
        <w:tc>
          <w:tcPr>
            <w:tcW w:type="dxa" w:w="308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611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463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GOLOSINAS</w:t>
            </w:r>
          </w:p>
        </w:tc>
        <w:tc>
          <w:tcPr>
            <w:tcW w:type="dxa" w:w="30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496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463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HELADOS</w:t>
            </w:r>
          </w:p>
        </w:tc>
        <w:tc>
          <w:tcPr>
            <w:tcW w:type="dxa" w:w="308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146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463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LIMPIEZA</w:t>
            </w:r>
          </w:p>
        </w:tc>
        <w:tc>
          <w:tcPr>
            <w:tcW w:type="dxa" w:w="30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691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8"/>
              </w:rPr>
            </w:r>
          </w:p>
        </w:tc>
        <w:tc>
          <w:tcPr>
            <w:tcW w:type="dxa" w:w="4637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8"/>
              </w:rPr>
              <w:t>Total</w:t>
            </w:r>
          </w:p>
        </w:tc>
        <w:tc>
          <w:tcPr>
            <w:tcW w:type="dxa" w:w="3082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8"/>
              </w:rPr>
              <w:t>1,671</w:t>
            </w:r>
          </w:p>
        </w:tc>
      </w:tr>
    </w:tbl>
    <w:p>
      <w:pPr>
        <w:spacing w:before="0" w:after="80" w:line="269" w:lineRule="auto"/>
      </w:pPr>
      <w:r>
        <w:rPr>
          <w:rFonts w:ascii="Arial" w:hAnsi="Arial"/>
          <w:b w:val="0"/>
          <w:i/>
          <w:color w:val="1F2933"/>
          <w:sz w:val="17"/>
        </w:rPr>
        <w:t>Nota. La demanda real total del período fue de 1,671 unidades.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Instrumento de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Índice de salida de inventario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Fórmula operativa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de datos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Kardex oficial con stock inicial, entradas y stock final por producto o categoría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 de cálculo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SI es el primer saldo del período, EN suma las entradas y SF es el último saldo del período. Para ISI, CD se obtiene del balance SI + EN - SF y debe conciliarse con las ventas registradas.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 de aplicación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El sistema está preparado para calcularlo al cargar el kardex oficial. No se consignan cifras de inventario de demostración como evidencia.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89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 de registro</w:t>
            </w:r>
          </w:p>
        </w:tc>
        <w:tc>
          <w:tcPr>
            <w:tcW w:type="dxa" w:w="4550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Dato que debe registrar el kardex oficial</w:t>
            </w:r>
          </w:p>
        </w:tc>
        <w:tc>
          <w:tcPr>
            <w:tcW w:type="dxa" w:w="3139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 en el cálculo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Fecha</w:t>
            </w:r>
          </w:p>
        </w:tc>
        <w:tc>
          <w:tcPr>
            <w:tcW w:type="dxa" w:w="45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Fecha de cada movimiento o cierre</w:t>
            </w:r>
          </w:p>
        </w:tc>
        <w:tc>
          <w:tcPr>
            <w:tcW w:type="dxa" w:w="313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Delimita el período evaluado</w:t>
            </w:r>
          </w:p>
        </w:tc>
      </w:tr>
      <w:tr>
        <w:trPr>
          <w:cantSplit/>
        </w:trPr>
        <w:tc>
          <w:tcPr>
            <w:tcW w:type="dxa" w:w="218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Producto y categoría</w:t>
            </w:r>
          </w:p>
        </w:tc>
        <w:tc>
          <w:tcPr>
            <w:tcW w:type="dxa" w:w="45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Identificador y categoría comercial</w:t>
            </w:r>
          </w:p>
        </w:tc>
        <w:tc>
          <w:tcPr>
            <w:tcW w:type="dxa" w:w="313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Permite agrupar los registros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SI y EN</w:t>
            </w:r>
          </w:p>
        </w:tc>
        <w:tc>
          <w:tcPr>
            <w:tcW w:type="dxa" w:w="45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Stock inicial y entradas</w:t>
            </w:r>
          </w:p>
        </w:tc>
        <w:tc>
          <w:tcPr>
            <w:tcW w:type="dxa" w:w="313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Determina el stock disponible</w:t>
            </w:r>
          </w:p>
        </w:tc>
      </w:tr>
      <w:tr>
        <w:trPr>
          <w:cantSplit/>
        </w:trPr>
        <w:tc>
          <w:tcPr>
            <w:tcW w:type="dxa" w:w="218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SF</w:t>
            </w:r>
          </w:p>
        </w:tc>
        <w:tc>
          <w:tcPr>
            <w:tcW w:type="dxa" w:w="45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Stock final del período</w:t>
            </w:r>
          </w:p>
        </w:tc>
        <w:tc>
          <w:tcPr>
            <w:tcW w:type="dxa" w:w="313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Permite obtener CD por balance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ISI</w:t>
            </w:r>
          </w:p>
        </w:tc>
        <w:tc>
          <w:tcPr>
            <w:tcW w:type="dxa" w:w="45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Resultado calculado por el sistema</w:t>
            </w:r>
          </w:p>
        </w:tc>
        <w:tc>
          <w:tcPr>
            <w:tcW w:type="dxa" w:w="313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Mide la proporción de salida del stock disponible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Instrumento de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Tasa de quiebre de stock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Fórmula operativa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TQS = DQS / DD x 100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de datos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Kardex oficial con fecha, producto, categoría y días sin stock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 de cálculo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DQS cuenta los días con quiebre. DD representa los días calendario del período evaluado.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 de aplicación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El sistema está preparado para calcularlo al cargar el kardex oficial. No se consignan cifras de inventario de demostración como evidencia.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89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 de registro</w:t>
            </w:r>
          </w:p>
        </w:tc>
        <w:tc>
          <w:tcPr>
            <w:tcW w:type="dxa" w:w="4550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Dato que debe registrar el kardex oficial</w:t>
            </w:r>
          </w:p>
        </w:tc>
        <w:tc>
          <w:tcPr>
            <w:tcW w:type="dxa" w:w="3139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 en el cálculo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Fecha</w:t>
            </w:r>
          </w:p>
        </w:tc>
        <w:tc>
          <w:tcPr>
            <w:tcW w:type="dxa" w:w="45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Fecha de control por producto</w:t>
            </w:r>
          </w:p>
        </w:tc>
        <w:tc>
          <w:tcPr>
            <w:tcW w:type="dxa" w:w="313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Determina los días evaluados</w:t>
            </w:r>
          </w:p>
        </w:tc>
      </w:tr>
      <w:tr>
        <w:trPr>
          <w:cantSplit/>
        </w:trPr>
        <w:tc>
          <w:tcPr>
            <w:tcW w:type="dxa" w:w="218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Producto y categoría</w:t>
            </w:r>
          </w:p>
        </w:tc>
        <w:tc>
          <w:tcPr>
            <w:tcW w:type="dxa" w:w="45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Identificador y categoría comercial</w:t>
            </w:r>
          </w:p>
        </w:tc>
        <w:tc>
          <w:tcPr>
            <w:tcW w:type="dxa" w:w="313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Permite identificar el quiebre por categoría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Días sin stock</w:t>
            </w:r>
          </w:p>
        </w:tc>
        <w:tc>
          <w:tcPr>
            <w:tcW w:type="dxa" w:w="45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Marca o número de días con existencia agotada</w:t>
            </w:r>
          </w:p>
        </w:tc>
        <w:tc>
          <w:tcPr>
            <w:tcW w:type="dxa" w:w="313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Permite obtener DQS</w:t>
            </w:r>
          </w:p>
        </w:tc>
      </w:tr>
      <w:tr>
        <w:trPr>
          <w:cantSplit/>
        </w:trPr>
        <w:tc>
          <w:tcPr>
            <w:tcW w:type="dxa" w:w="218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DD</w:t>
            </w:r>
          </w:p>
        </w:tc>
        <w:tc>
          <w:tcPr>
            <w:tcW w:type="dxa" w:w="45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Cantidad de días del período</w:t>
            </w:r>
          </w:p>
        </w:tc>
        <w:tc>
          <w:tcPr>
            <w:tcW w:type="dxa" w:w="3139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Es el denominador de la tasa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TQS</w:t>
            </w:r>
          </w:p>
        </w:tc>
        <w:tc>
          <w:tcPr>
            <w:tcW w:type="dxa" w:w="45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Resultado calculado por el sistema</w:t>
            </w:r>
          </w:p>
        </w:tc>
        <w:tc>
          <w:tcPr>
            <w:tcW w:type="dxa" w:w="313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Expresa la frecuencia de desabastecimiento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Instrumento de estacionalidad para Pretest y Postest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Índice estacional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Fórmula operativa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IE = VP / VPR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Definición de VP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Ventas reales acumuladas en el período evaluado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Definición de VPR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Promedio semanal de las cuatro semanas completas anteriores al corte, del 12 de agosto al 8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de datos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Historial de demanda consolidado por fecha y categoría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69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</w:t>
            </w:r>
          </w:p>
        </w:tc>
        <w:tc>
          <w:tcPr>
            <w:tcW w:type="dxa" w:w="352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65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VP</w:t>
            </w:r>
          </w:p>
        </w:tc>
        <w:tc>
          <w:tcPr>
            <w:tcW w:type="dxa" w:w="19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VPR</w:t>
            </w:r>
          </w:p>
        </w:tc>
        <w:tc>
          <w:tcPr>
            <w:tcW w:type="dxa" w:w="122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5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330</w:t>
            </w:r>
          </w:p>
        </w:tc>
        <w:tc>
          <w:tcPr>
            <w:tcW w:type="dxa" w:w="19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399.75</w:t>
            </w:r>
          </w:p>
        </w:tc>
        <w:tc>
          <w:tcPr>
            <w:tcW w:type="dxa" w:w="12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0.83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52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BEBIDAS</w:t>
            </w:r>
          </w:p>
        </w:tc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611</w:t>
            </w:r>
          </w:p>
        </w:tc>
        <w:tc>
          <w:tcPr>
            <w:tcW w:type="dxa" w:w="19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672.50</w:t>
            </w:r>
          </w:p>
        </w:tc>
        <w:tc>
          <w:tcPr>
            <w:tcW w:type="dxa" w:w="1224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0.91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5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496</w:t>
            </w:r>
          </w:p>
        </w:tc>
        <w:tc>
          <w:tcPr>
            <w:tcW w:type="dxa" w:w="19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502.50</w:t>
            </w:r>
          </w:p>
        </w:tc>
        <w:tc>
          <w:tcPr>
            <w:tcW w:type="dxa" w:w="12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0.99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52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HELADOS</w:t>
            </w:r>
          </w:p>
        </w:tc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146</w:t>
            </w:r>
          </w:p>
        </w:tc>
        <w:tc>
          <w:tcPr>
            <w:tcW w:type="dxa" w:w="19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188.00</w:t>
            </w:r>
          </w:p>
        </w:tc>
        <w:tc>
          <w:tcPr>
            <w:tcW w:type="dxa" w:w="1224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0.78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5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LIMPIEZA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88</w:t>
            </w:r>
          </w:p>
        </w:tc>
        <w:tc>
          <w:tcPr>
            <w:tcW w:type="dxa" w:w="19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121.75</w:t>
            </w:r>
          </w:p>
        </w:tc>
        <w:tc>
          <w:tcPr>
            <w:tcW w:type="dxa" w:w="12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0.72</w:t>
            </w:r>
          </w:p>
        </w:tc>
      </w:tr>
      <w:tr>
        <w:trPr>
          <w:cantSplit/>
        </w:trPr>
        <w:tc>
          <w:tcPr>
            <w:tcW w:type="dxa" w:w="691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7"/>
              </w:rPr>
            </w:r>
          </w:p>
        </w:tc>
        <w:tc>
          <w:tcPr>
            <w:tcW w:type="dxa" w:w="3528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7"/>
              </w:rPr>
              <w:t>Total</w:t>
            </w:r>
          </w:p>
        </w:tc>
        <w:tc>
          <w:tcPr>
            <w:tcW w:type="dxa" w:w="1656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7"/>
              </w:rPr>
              <w:t>1,671</w:t>
            </w:r>
          </w:p>
        </w:tc>
        <w:tc>
          <w:tcPr>
            <w:tcW w:type="dxa" w:w="1987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7"/>
              </w:rPr>
              <w:t>1,884.50</w:t>
            </w:r>
          </w:p>
        </w:tc>
        <w:tc>
          <w:tcPr>
            <w:tcW w:type="dxa" w:w="1224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7"/>
              </w:rPr>
              <w:t>0.89</w:t>
            </w:r>
          </w:p>
        </w:tc>
      </w:tr>
    </w:tbl>
    <w:p>
      <w:pPr>
        <w:spacing w:before="0" w:after="80" w:line="269" w:lineRule="auto"/>
      </w:pPr>
      <w:r>
        <w:rPr>
          <w:rFonts w:ascii="Arial" w:hAnsi="Arial"/>
          <w:b w:val="0"/>
          <w:i/>
          <w:color w:val="1F2933"/>
          <w:sz w:val="17"/>
        </w:rPr>
        <w:t>Nota. Un IE menor que 1 indica ventas del período por debajo del promedio de referencia.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Instrumento de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Referencia Pretest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PMS-7, promedio móvil simple de siete días calculado de forma recursiva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Postest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Modelo predictivo del sistema, entrenado solo con datos disponibles hasta el 8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 de datos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Pronósticos de ambos métodos y ventas reales posteriores a la fecha de corte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Métricas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MAPE es el indicador operacionalizado. WAPE, MAE y RMSE se reportan como métricas complementarias del sistema. Un valor menor representa menor error.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Del 9 al 15 de septiembre de 2026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43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93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</w:t>
            </w:r>
          </w:p>
        </w:tc>
        <w:tc>
          <w:tcPr>
            <w:tcW w:type="dxa" w:w="129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DP PMS-7</w:t>
            </w:r>
          </w:p>
        </w:tc>
        <w:tc>
          <w:tcPr>
            <w:tcW w:type="dxa" w:w="1382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MAPE PMS-7</w:t>
            </w:r>
          </w:p>
        </w:tc>
        <w:tc>
          <w:tcPr>
            <w:tcW w:type="dxa" w:w="129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DP modelo</w:t>
            </w:r>
          </w:p>
        </w:tc>
        <w:tc>
          <w:tcPr>
            <w:tcW w:type="dxa" w:w="1382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MAPE modelo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84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ABARROTES</w:t>
            </w:r>
          </w:p>
        </w:tc>
        <w:tc>
          <w:tcPr>
            <w:tcW w:type="dxa" w:w="9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330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374.73</w:t>
            </w:r>
          </w:p>
        </w:tc>
        <w:tc>
          <w:tcPr>
            <w:tcW w:type="dxa" w:w="13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31.28%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399.75</w:t>
            </w:r>
          </w:p>
        </w:tc>
        <w:tc>
          <w:tcPr>
            <w:tcW w:type="dxa" w:w="13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39.51%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843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BEBIDAS</w:t>
            </w:r>
          </w:p>
        </w:tc>
        <w:tc>
          <w:tcPr>
            <w:tcW w:type="dxa" w:w="93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611</w:t>
            </w:r>
          </w:p>
        </w:tc>
        <w:tc>
          <w:tcPr>
            <w:tcW w:type="dxa" w:w="129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646.31</w:t>
            </w:r>
          </w:p>
        </w:tc>
        <w:tc>
          <w:tcPr>
            <w:tcW w:type="dxa" w:w="138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19.52%</w:t>
            </w:r>
          </w:p>
        </w:tc>
        <w:tc>
          <w:tcPr>
            <w:tcW w:type="dxa" w:w="129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672.50</w:t>
            </w:r>
          </w:p>
        </w:tc>
        <w:tc>
          <w:tcPr>
            <w:tcW w:type="dxa" w:w="138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15.63%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84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GOLOSINAS</w:t>
            </w:r>
          </w:p>
        </w:tc>
        <w:tc>
          <w:tcPr>
            <w:tcW w:type="dxa" w:w="9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496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482.49</w:t>
            </w:r>
          </w:p>
        </w:tc>
        <w:tc>
          <w:tcPr>
            <w:tcW w:type="dxa" w:w="13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18.96%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549.38</w:t>
            </w:r>
          </w:p>
        </w:tc>
        <w:tc>
          <w:tcPr>
            <w:tcW w:type="dxa" w:w="13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22.74%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843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HELADOS</w:t>
            </w:r>
          </w:p>
        </w:tc>
        <w:tc>
          <w:tcPr>
            <w:tcW w:type="dxa" w:w="93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146</w:t>
            </w:r>
          </w:p>
        </w:tc>
        <w:tc>
          <w:tcPr>
            <w:tcW w:type="dxa" w:w="129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184.99</w:t>
            </w:r>
          </w:p>
        </w:tc>
        <w:tc>
          <w:tcPr>
            <w:tcW w:type="dxa" w:w="138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51.40%</w:t>
            </w:r>
          </w:p>
        </w:tc>
        <w:tc>
          <w:tcPr>
            <w:tcW w:type="dxa" w:w="129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188.00</w:t>
            </w:r>
          </w:p>
        </w:tc>
        <w:tc>
          <w:tcPr>
            <w:tcW w:type="dxa" w:w="138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44.33%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84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LIMPIEZA</w:t>
            </w:r>
          </w:p>
        </w:tc>
        <w:tc>
          <w:tcPr>
            <w:tcW w:type="dxa" w:w="9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88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113.46</w:t>
            </w:r>
          </w:p>
        </w:tc>
        <w:tc>
          <w:tcPr>
            <w:tcW w:type="dxa" w:w="13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36.54%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121.75</w:t>
            </w:r>
          </w:p>
        </w:tc>
        <w:tc>
          <w:tcPr>
            <w:tcW w:type="dxa" w:w="138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47.27%</w:t>
            </w:r>
          </w:p>
        </w:tc>
      </w:tr>
      <w:tr>
        <w:trPr>
          <w:cantSplit/>
        </w:trPr>
        <w:tc>
          <w:tcPr>
            <w:tcW w:type="dxa" w:w="518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</w:r>
          </w:p>
        </w:tc>
        <w:tc>
          <w:tcPr>
            <w:tcW w:type="dxa" w:w="1843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Total</w:t>
            </w:r>
          </w:p>
        </w:tc>
        <w:tc>
          <w:tcPr>
            <w:tcW w:type="dxa" w:w="936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1,671</w:t>
            </w:r>
          </w:p>
        </w:tc>
        <w:tc>
          <w:tcPr>
            <w:tcW w:type="dxa" w:w="1296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1,801.98</w:t>
            </w:r>
          </w:p>
        </w:tc>
        <w:tc>
          <w:tcPr>
            <w:tcW w:type="dxa" w:w="1382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31.54%</w:t>
            </w:r>
          </w:p>
        </w:tc>
        <w:tc>
          <w:tcPr>
            <w:tcW w:type="dxa" w:w="1296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1,931.38</w:t>
            </w:r>
          </w:p>
        </w:tc>
        <w:tc>
          <w:tcPr>
            <w:tcW w:type="dxa" w:w="1382"/>
            <w:shd w:fill="DDEBF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33.89%</w:t>
            </w:r>
          </w:p>
        </w:tc>
      </w:tr>
    </w:tbl>
    <w:p>
      <w:pPr>
        <w:spacing w:before="0" w:after="80" w:line="269" w:lineRule="auto"/>
      </w:pPr>
      <w:r>
        <w:rPr>
          <w:rFonts w:ascii="Arial" w:hAnsi="Arial"/>
          <w:b w:val="0"/>
          <w:i/>
          <w:color w:val="1F2933"/>
          <w:sz w:val="17"/>
        </w:rPr>
        <w:t>Nota. DR: demanda real. DP: demanda pronosticada. MAPE se calcula sobre las observaciones diarias de cada categoría.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Resumen de la validación histórica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555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77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Referencia PMS-7</w:t>
            </w:r>
          </w:p>
        </w:tc>
        <w:tc>
          <w:tcPr>
            <w:tcW w:type="dxa" w:w="1800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Modelo predictivo</w:t>
            </w:r>
          </w:p>
        </w:tc>
        <w:tc>
          <w:tcPr>
            <w:tcW w:type="dxa" w:w="1512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Diferencia</w:t>
            </w:r>
          </w:p>
        </w:tc>
        <w:tc>
          <w:tcPr>
            <w:tcW w:type="dxa" w:w="3283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WAPE</w:t>
            </w:r>
          </w:p>
        </w:tc>
        <w:tc>
          <w:tcPr>
            <w:tcW w:type="dxa" w:w="177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20.82%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21.81%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+0.99%</w:t>
            </w:r>
          </w:p>
        </w:tc>
        <w:tc>
          <w:tcPr>
            <w:tcW w:type="dxa" w:w="328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  <w:tr>
        <w:trPr>
          <w:cantSplit/>
        </w:trPr>
        <w:tc>
          <w:tcPr>
            <w:tcW w:type="dxa" w:w="155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MAPE</w:t>
            </w:r>
          </w:p>
        </w:tc>
        <w:tc>
          <w:tcPr>
            <w:tcW w:type="dxa" w:w="177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31.54%</w:t>
            </w:r>
          </w:p>
        </w:tc>
        <w:tc>
          <w:tcPr>
            <w:tcW w:type="dxa" w:w="180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33.89%</w:t>
            </w:r>
          </w:p>
        </w:tc>
        <w:tc>
          <w:tcPr>
            <w:tcW w:type="dxa" w:w="151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+2.35%</w:t>
            </w:r>
          </w:p>
        </w:tc>
        <w:tc>
          <w:tcPr>
            <w:tcW w:type="dxa" w:w="3283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MAE</w:t>
            </w:r>
          </w:p>
        </w:tc>
        <w:tc>
          <w:tcPr>
            <w:tcW w:type="dxa" w:w="177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9.94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10.41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+0.47</w:t>
            </w:r>
          </w:p>
        </w:tc>
        <w:tc>
          <w:tcPr>
            <w:tcW w:type="dxa" w:w="328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  <w:tr>
        <w:trPr>
          <w:cantSplit/>
        </w:trPr>
        <w:tc>
          <w:tcPr>
            <w:tcW w:type="dxa" w:w="155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RMSE</w:t>
            </w:r>
          </w:p>
        </w:tc>
        <w:tc>
          <w:tcPr>
            <w:tcW w:type="dxa" w:w="177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13.26</w:t>
            </w:r>
          </w:p>
        </w:tc>
        <w:tc>
          <w:tcPr>
            <w:tcW w:type="dxa" w:w="180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14.17</w:t>
            </w:r>
          </w:p>
        </w:tc>
        <w:tc>
          <w:tcPr>
            <w:tcW w:type="dxa" w:w="151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+0.90</w:t>
            </w:r>
          </w:p>
        </w:tc>
        <w:tc>
          <w:tcPr>
            <w:tcW w:type="dxa" w:w="3283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/>
          <w:b w:val="0"/>
          <w:i w:val="0"/>
          <w:color w:val="9C1C1C"/>
          <w:sz w:val="18"/>
        </w:rPr>
        <w:t>Interpretación. En el período evaluado, PMS-7 registró menor WAPE, MAPE, MAE y RMSE que el modelo predictivo. Por ello, este resultado histórico de siete días no demuestra una mejora del modelo frente a la línea base. Para una conclusión de tesis más sólida se deben ejecutar y reportar varias fechas de corte, manteniendo el mismo procedimiento temporal.</w:t>
      </w:r>
    </w:p>
    <w:sectPr w:rsidR="00FC693F" w:rsidRPr="0006063C" w:rsidSect="00034616">
      <w:footerReference w:type="default" r:id="rId9"/>
      <w:pgSz w:w="12240" w:h="15840"/>
      <w:pgMar w:top="835" w:right="1123" w:bottom="835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6"/>
      </w:rPr>
      <w:t>Anexo 2 Instrumentos de recolección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2 Instrumentos de recolección de datos</dc:title>
  <dc:subject>Instrumentos de recolección de datos para la evaluación histórica de demanda</dc:subject>
  <dc:creator>Guerrero Mora, Carlos David Elian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