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b/>
          <w:i w:val="0"/>
          <w:color w:val="000000"/>
          <w:sz w:val="30"/>
        </w:rPr>
        <w:t>Anexo 2 Instrumentos de recolección de datos Postest</w:t>
      </w:r>
    </w:p>
    <w:p>
      <w:pPr>
        <w:spacing w:after="160"/>
        <w:jc w:val="both"/>
      </w:pPr>
      <w:r>
        <w:rPr>
          <w:rFonts w:ascii="Arial" w:hAnsi="Arial"/>
          <w:b w:val="0"/>
          <w:i w:val="0"/>
          <w:color w:val="000000"/>
          <w:sz w:val="19"/>
        </w:rPr>
        <w:t>Las ocho fichas se aplican a una validación histórica de siete días. El pretest usa el promedio móvil simple de siete días y el postest usa el modelo seleccionado por el programa. Ambos métodos se contrastan con las mismas ventas reales del 19 al 25 de mayo de 2026, usando datos de entrenamiento solo hasta el 18 de mayo de 2026.</w:t>
      </w:r>
    </w:p>
    <w:p>
      <w:pPr>
        <w:pStyle w:val="Heading1"/>
        <w:keepNext/>
        <w:spacing w:before="80" w:after="80"/>
      </w:pPr>
      <w:r>
        <w:rPr>
          <w:rFonts w:ascii="Arial" w:hAnsi="Arial"/>
          <w:b/>
          <w:i w:val="0"/>
          <w:color w:val="000000"/>
          <w:sz w:val="21"/>
        </w:rPr>
        <w:t>Instrumento de recolección de datos del indicador para el postest Cantidad demandada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CD = (SI + EN) - SF</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CD se obtiene del movimiento real de inventario cuando existe un kardex completo con stock inicial, entradas y stock final.</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Kardex real diario requerido. El archivo disponible no contiene una serie continua verificable.</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SI</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EN</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SF</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CD</w:t>
            </w:r>
          </w:p>
        </w:tc>
      </w:tr>
      <w:tr>
        <w:tc>
          <w:tcPr>
            <w:tcW w:type="dxa" w:w="9648"/>
            <w:vAlign w:val="center"/>
            <w:tcMar>
              <w:top w:w="90" w:type="dxa"/>
              <w:start w:w="110" w:type="dxa"/>
              <w:bottom w:w="90" w:type="dxa"/>
              <w:end w:w="110" w:type="dxa"/>
            </w:tcMar>
            <w:gridSpan w:val="5"/>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registra este cálculo: no se cuenta con kardex real continuo para los cinco grupos y los siete días. La cantidad demandada comprobable por ventas se presenta en el Instrumento 6.</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postest Índice de salida de inventario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Índice de salida de inventario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ISI = CD / (SI + EN)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ISI expresa la proporción de la mercadería disponible que salió en el período.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Kardex real diario requerido. No se infiere ISI a partir de ventas aisladas.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CD</w:t>
            </w:r>
          </w:p>
        </w:tc>
        <w:tc>
          <w:tcPr>
            <w:tcW w:type="dxa" w:w="201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Stock inicial SI</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Entradas EN</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Índice de salida de inventario ISI</w:t>
            </w:r>
          </w:p>
        </w:tc>
      </w:tr>
      <w:tr>
        <w:tc>
          <w:tcPr>
            <w:tcW w:type="dxa" w:w="9648"/>
            <w:vAlign w:val="center"/>
            <w:tcMar>
              <w:top w:w="90" w:type="dxa"/>
              <w:start w:w="110" w:type="dxa"/>
              <w:bottom w:w="90" w:type="dxa"/>
              <w:end w:w="110" w:type="dxa"/>
            </w:tcMar>
            <w:gridSpan w:val="5"/>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calcula ISI con el inventario disponible, porque sus saldos no forman un kardex continuo por producto y fecha. Reportar un porcentaje en estas condiciones sería no verificable.</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postest Tasa de quiebre de stock</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Tasa de quiebre de stock</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TQS = (DQS / DD) x 100</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TQS mide los días con quiebre de stock dentro de los días evaluados.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Registro diario completo de productos agotados requerido. No se puede sustituir por ausencia de venta.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DQS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TQS</w:t>
            </w:r>
          </w:p>
        </w:tc>
      </w:tr>
      <w:tr>
        <w:tc>
          <w:tcPr>
            <w:tcW w:type="dxa" w:w="8784"/>
            <w:vAlign w:val="center"/>
            <w:tcMar>
              <w:top w:w="90" w:type="dxa"/>
              <w:start w:w="110" w:type="dxa"/>
              <w:bottom w:w="90" w:type="dxa"/>
              <w:end w:w="110" w:type="dxa"/>
            </w:tcMar>
            <w:gridSpan w:val="4"/>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calcula TQS: el archivo no registra la disponibilidad de todo el catálogo en cada día. Un producto sin venta no demuestra que se encontraba disponible ni agotado.</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postest Estacionalidad</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IE = VD / VPM</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IE compara la venta diaria final del período con la venta promedio diaria del mes completo anterior.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VPM corresponde al promedio diario de abril de 2026.</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VPM</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IE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51</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47,83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1,07</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66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80,10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0,82</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69,80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0,86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25,80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0,58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15,67</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0,32</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postest Error de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Error de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MAPE mide el error porcentual medio al comparar la demanda real y la demanda pronosticada para cada categoría y día.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Pronósticos obtenidos con el mismo servicio de entrenamiento y predicción del programa, y reportes diarios de ventas.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real DR</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pronosticada DP</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MAPE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326,50</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13,08%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590,62</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29,69%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516,25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18,29%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176,75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30,38%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110,25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56,89%</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postest Volumen de demanda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CD = sumatoria de ventas realizadas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CD corresponde a las unidades vendidas consolidadas durante los siete días evaluados.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por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Cantidad vendida</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Cantidad demandada CD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Período</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postest Patrón de demanda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IE = VP / VPR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IE compara el promedio diario vendido en el período con el promedio diario de referencia anterior a la fecha de corte.</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VPR usa del 01 de abril al 18 de mayo de 2026.</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Venta del período VP</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Venta promedio VPR</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Índice estacional IE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50,71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47,73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80,43</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83,75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0,96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66,29</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73,06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0,91</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24,71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25,83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0,96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15,14</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0,96</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postest Precisión del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Precisión del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La precisión se determina comparando el pronóstico y la demanda real en las 35 observaciones de categoría y día.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Pronósticos obtenidos con el mismo servicio de entrenamiento y predicción del programa, y reportes diarios de ventas.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Postest.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real DR</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pronosticada DP</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MAPE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326,50</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13,08%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590,62</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29,69%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516,25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18,29%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176,75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30,38%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110,25</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56,89%</w:t>
            </w:r>
          </w:p>
        </w:tc>
      </w:tr>
    </w:tbl>
    <w:p>
      <w:pPr>
        <w:spacing w:after="0"/>
      </w:pPr>
    </w:p>
    <w:p>
      <w:pPr>
        <w:spacing w:before="120" w:after="60"/>
        <w:jc w:val="both"/>
      </w:pPr>
      <w:r>
        <w:rPr>
          <w:rFonts w:ascii="Arial" w:hAnsi="Arial"/>
          <w:b/>
          <w:i w:val="0"/>
          <w:color w:val="000000"/>
          <w:sz w:val="19"/>
        </w:rPr>
        <w:t>Resultado global del postest: MAE 10,29, RMSE 14,34, MAPE 29,67% y WAPE 21,68%, calculados sobre 35 observaciones.</w:t>
      </w:r>
    </w:p>
    <w:p>
      <w:pPr>
        <w:spacing w:after="80"/>
        <w:jc w:val="both"/>
      </w:pPr>
      <w:r>
        <w:rPr>
          <w:rFonts w:ascii="Arial" w:hAnsi="Arial"/>
          <w:b w:val="0"/>
          <w:i w:val="0"/>
          <w:color w:val="000000"/>
          <w:sz w:val="19"/>
        </w:rPr>
        <w:t>Comparado con el pretest, el MAPE disminuye 2,23 puntos porcentuales. Esta diferencia corresponde a una validación histórica de métodos y no a una medición causal de inventario.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