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rPr>
          <w:rFonts w:ascii="Arial" w:hAnsi="Arial"/>
          <w:b/>
          <w:i w:val="0"/>
          <w:color w:val="000000"/>
          <w:sz w:val="30"/>
        </w:rPr>
        <w:t>Anexo 2 Instrumentos de recolección de datos Pretest</w:t>
      </w:r>
    </w:p>
    <w:p>
      <w:pPr>
        <w:spacing w:after="160"/>
        <w:jc w:val="both"/>
      </w:pPr>
      <w:r>
        <w:rPr>
          <w:rFonts w:ascii="Arial" w:hAnsi="Arial"/>
          <w:b w:val="0"/>
          <w:i w:val="0"/>
          <w:color w:val="000000"/>
          <w:sz w:val="19"/>
        </w:rPr>
        <w:t>Las ocho fichas se aplican a una validación histórica de siete días. El pretest usa el promedio móvil simple de siete días y el postest usa el modelo seleccionado por el programa. Ambos métodos se contrastan con las mismas ventas reales del 19 al 25 de mayo de 2026, usando datos de entrenamiento solo hasta el 18 de mayo de 2026.</w:t>
      </w:r>
    </w:p>
    <w:p>
      <w:pPr>
        <w:pStyle w:val="Heading1"/>
        <w:keepNext/>
        <w:spacing w:before="80" w:after="80"/>
      </w:pPr>
      <w:r>
        <w:rPr>
          <w:rFonts w:ascii="Arial" w:hAnsi="Arial"/>
          <w:b/>
          <w:i w:val="0"/>
          <w:color w:val="000000"/>
          <w:sz w:val="21"/>
        </w:rPr>
        <w:t>Instrumento de recolección de datos del indicador para el pretest Cantidad demandada</w:t>
      </w:r>
    </w:p>
    <w:tbl>
      <w:tblPr>
        <w:tblW w:type="auto" w:w="0"/>
        <w:jc w:val="center"/>
        <w:tblLayout w:type="fixed"/>
        <w:tblLook w:firstColumn="1" w:firstRow="1" w:lastColumn="0" w:lastRow="0" w:noHBand="0" w:noVBand="1" w:val="04A0"/>
      </w:tblPr>
      <w:tblGrid>
        <w:gridCol w:w="5040"/>
        <w:gridCol w:w="5040"/>
      </w:tblGrid>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Indicador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Cantidad demandada</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Investigador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Guerrero Mora, Carlos David Elian</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Lugar de estudio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Minimarket Taully, Comas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Formula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CD = (SI + EN) - SF</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Definicion operativa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CD se obtiene del movimiento real de inventario cuando existe un kardex completo con stock inicial, entradas y stock final.</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Fuente de datos</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Kardex real diario requerido. El archivo disponible no contiene una serie continua verificable.</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Periodo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Pretest. Validación histórica del 19 al 25 de mayo de 2026. Corte de entrenamiento: 18 de mayo de 2026.</w:t>
            </w:r>
          </w:p>
        </w:tc>
      </w:tr>
    </w:tbl>
    <w:p>
      <w:pPr>
        <w:spacing w:after="40"/>
      </w:pP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N°</w:t>
            </w:r>
          </w:p>
        </w:tc>
        <w:tc>
          <w:tcPr>
            <w:tcW w:type="dxa" w:w="216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SI</w:t>
            </w:r>
          </w:p>
        </w:tc>
        <w:tc>
          <w:tcPr>
            <w:tcW w:type="dxa" w:w="216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EN</w:t>
            </w:r>
          </w:p>
        </w:tc>
        <w:tc>
          <w:tcPr>
            <w:tcW w:type="dxa" w:w="216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SF</w:t>
            </w:r>
          </w:p>
        </w:tc>
        <w:tc>
          <w:tcPr>
            <w:tcW w:type="dxa" w:w="216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CD</w:t>
            </w:r>
          </w:p>
        </w:tc>
      </w:tr>
      <w:tr>
        <w:tc>
          <w:tcPr>
            <w:tcW w:type="dxa" w:w="9648"/>
            <w:vAlign w:val="center"/>
            <w:tcMar>
              <w:top w:w="90" w:type="dxa"/>
              <w:start w:w="110" w:type="dxa"/>
              <w:bottom w:w="90" w:type="dxa"/>
              <w:end w:w="110" w:type="dxa"/>
            </w:tcMar>
            <w:gridSpan w:val="5"/>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No se registra este cálculo: no se cuenta con kardex real continuo para los cinco grupos y los siete días. La cantidad demandada comprobable por ventas se presenta en el Instrumento 6.</w:t>
            </w:r>
          </w:p>
          <w:p>
            <w:pPr>
              <w:spacing w:after="0" w:before="0" w:line="252" w:lineRule="auto"/>
              <w:jc w:val="left"/>
            </w:pPr>
            <w:r/>
            <w:r>
              <w:rPr>
                <w:rFonts w:ascii="Arial" w:hAnsi="Arial"/>
                <w:b w:val="0"/>
                <w:color w:val="1F1F1F"/>
                <w:sz w:val="18"/>
              </w:rPr>
            </w:r>
          </w:p>
          <w:p>
            <w:pPr>
              <w:spacing w:after="0" w:before="0" w:line="252" w:lineRule="auto"/>
              <w:jc w:val="left"/>
            </w:pPr>
            <w:r/>
            <w:r>
              <w:rPr>
                <w:rFonts w:ascii="Arial" w:hAnsi="Arial"/>
                <w:b w:val="0"/>
                <w:color w:val="1F1F1F"/>
                <w:sz w:val="18"/>
              </w:rPr>
            </w:r>
          </w:p>
          <w:p>
            <w:pPr>
              <w:spacing w:after="0" w:before="0" w:line="252" w:lineRule="auto"/>
              <w:jc w:val="left"/>
            </w:pPr>
            <w:r/>
            <w:r>
              <w:rPr>
                <w:rFonts w:ascii="Arial" w:hAnsi="Arial"/>
                <w:b w:val="0"/>
                <w:color w:val="1F1F1F"/>
                <w:sz w:val="18"/>
              </w:rPr>
            </w:r>
          </w:p>
          <w:p>
            <w:pPr>
              <w:spacing w:after="0" w:before="0" w:line="252" w:lineRule="auto"/>
              <w:jc w:val="left"/>
            </w:pPr>
            <w:r/>
            <w:r>
              <w:rPr>
                <w:rFonts w:ascii="Arial" w:hAnsi="Arial"/>
                <w:b w:val="0"/>
                <w:color w:val="1F1F1F"/>
                <w:sz w:val="18"/>
              </w:rPr>
            </w:r>
          </w:p>
        </w:tc>
      </w:tr>
    </w:tbl>
    <w:p>
      <w:pPr>
        <w:spacing w:after="0"/>
      </w:pPr>
    </w:p>
    <w:p>
      <w:r>
        <w:br w:type="page"/>
      </w:r>
    </w:p>
    <w:p>
      <w:pPr>
        <w:pStyle w:val="Heading1"/>
        <w:keepNext/>
        <w:spacing w:before="80" w:after="80"/>
      </w:pPr>
      <w:r>
        <w:rPr>
          <w:rFonts w:ascii="Arial" w:hAnsi="Arial"/>
          <w:b/>
          <w:i w:val="0"/>
          <w:color w:val="000000"/>
          <w:sz w:val="21"/>
        </w:rPr>
        <w:t>Instrumento de recolección de datos del indicador para el pretest Índice de salida de inventario</w:t>
      </w:r>
    </w:p>
    <w:tbl>
      <w:tblPr>
        <w:tblW w:type="auto" w:w="0"/>
        <w:jc w:val="center"/>
        <w:tblLayout w:type="fixed"/>
        <w:tblLook w:firstColumn="1" w:firstRow="1" w:lastColumn="0" w:lastRow="0" w:noHBand="0" w:noVBand="1" w:val="04A0"/>
      </w:tblPr>
      <w:tblGrid>
        <w:gridCol w:w="5040"/>
        <w:gridCol w:w="5040"/>
      </w:tblGrid>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Indicador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Índice de salida de inventario</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Investigador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Guerrero Mora, Carlos David Elian</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Lugar de estudio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Minimarket Taully, Comas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Formula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ISI = CD / (SI + EN)</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Definicion operativa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ISI expresa la proporción de la mercadería disponible que salió en el período.</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Fuente de datos</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Kardex real diario requerido. No se infiere ISI a partir de ventas aisladas.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Periodo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Pretest. Validación histórica del 19 al 25 de mayo de 2026. Corte de entrenamiento: 18 de mayo de 2026.</w:t>
            </w:r>
          </w:p>
        </w:tc>
      </w:tr>
    </w:tbl>
    <w:p>
      <w:pPr>
        <w:spacing w:after="40"/>
      </w:pPr>
    </w:p>
    <w:tbl>
      <w:tblPr>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trPr>
        <w:tc>
          <w:tcPr>
            <w:tcW w:type="dxa" w:w="7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N°</w:t>
            </w:r>
          </w:p>
        </w:tc>
        <w:tc>
          <w:tcPr>
            <w:tcW w:type="dxa" w:w="158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CD</w:t>
            </w:r>
          </w:p>
        </w:tc>
        <w:tc>
          <w:tcPr>
            <w:tcW w:type="dxa" w:w="201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Stock inicial SI</w:t>
            </w:r>
          </w:p>
        </w:tc>
        <w:tc>
          <w:tcPr>
            <w:tcW w:type="dxa" w:w="194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Entradas EN</w:t>
            </w:r>
          </w:p>
        </w:tc>
        <w:tc>
          <w:tcPr>
            <w:tcW w:type="dxa" w:w="331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Índice de salida de inventario ISI</w:t>
            </w:r>
          </w:p>
        </w:tc>
      </w:tr>
      <w:tr>
        <w:tc>
          <w:tcPr>
            <w:tcW w:type="dxa" w:w="9648"/>
            <w:vAlign w:val="center"/>
            <w:tcMar>
              <w:top w:w="90" w:type="dxa"/>
              <w:start w:w="110" w:type="dxa"/>
              <w:bottom w:w="90" w:type="dxa"/>
              <w:end w:w="110" w:type="dxa"/>
            </w:tcMar>
            <w:gridSpan w:val="5"/>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No se calcula ISI con el inventario disponible, porque sus saldos no forman un kardex continuo por producto y fecha. Reportar un porcentaje en estas condiciones sería no verificable.</w:t>
            </w:r>
          </w:p>
          <w:p>
            <w:pPr>
              <w:spacing w:after="0" w:before="0" w:line="252" w:lineRule="auto"/>
              <w:jc w:val="left"/>
            </w:pPr>
            <w:r/>
            <w:r>
              <w:rPr>
                <w:rFonts w:ascii="Arial" w:hAnsi="Arial"/>
                <w:b w:val="0"/>
                <w:color w:val="1F1F1F"/>
                <w:sz w:val="18"/>
              </w:rPr>
            </w:r>
          </w:p>
          <w:p>
            <w:pPr>
              <w:spacing w:after="0" w:before="0" w:line="252" w:lineRule="auto"/>
              <w:jc w:val="left"/>
            </w:pPr>
            <w:r/>
            <w:r>
              <w:rPr>
                <w:rFonts w:ascii="Arial" w:hAnsi="Arial"/>
                <w:b w:val="0"/>
                <w:color w:val="1F1F1F"/>
                <w:sz w:val="18"/>
              </w:rPr>
            </w:r>
          </w:p>
          <w:p>
            <w:pPr>
              <w:spacing w:after="0" w:before="0" w:line="252" w:lineRule="auto"/>
              <w:jc w:val="left"/>
            </w:pPr>
            <w:r/>
            <w:r>
              <w:rPr>
                <w:rFonts w:ascii="Arial" w:hAnsi="Arial"/>
                <w:b w:val="0"/>
                <w:color w:val="1F1F1F"/>
                <w:sz w:val="18"/>
              </w:rPr>
            </w:r>
          </w:p>
          <w:p>
            <w:pPr>
              <w:spacing w:after="0" w:before="0" w:line="252" w:lineRule="auto"/>
              <w:jc w:val="left"/>
            </w:pPr>
            <w:r/>
            <w:r>
              <w:rPr>
                <w:rFonts w:ascii="Arial" w:hAnsi="Arial"/>
                <w:b w:val="0"/>
                <w:color w:val="1F1F1F"/>
                <w:sz w:val="18"/>
              </w:rPr>
            </w:r>
          </w:p>
        </w:tc>
      </w:tr>
    </w:tbl>
    <w:p>
      <w:pPr>
        <w:spacing w:after="0"/>
      </w:pPr>
    </w:p>
    <w:p>
      <w:r>
        <w:br w:type="page"/>
      </w:r>
    </w:p>
    <w:p>
      <w:pPr>
        <w:pStyle w:val="Heading1"/>
        <w:keepNext/>
        <w:spacing w:before="80" w:after="80"/>
      </w:pPr>
      <w:r>
        <w:rPr>
          <w:rFonts w:ascii="Arial" w:hAnsi="Arial"/>
          <w:b/>
          <w:i w:val="0"/>
          <w:color w:val="000000"/>
          <w:sz w:val="21"/>
        </w:rPr>
        <w:t>Instrumento de recolección de datos del indicador para el pretest Tasa de quiebre de stock</w:t>
      </w:r>
    </w:p>
    <w:tbl>
      <w:tblPr>
        <w:tblW w:type="auto" w:w="0"/>
        <w:jc w:val="center"/>
        <w:tblLayout w:type="fixed"/>
        <w:tblLook w:firstColumn="1" w:firstRow="1" w:lastColumn="0" w:lastRow="0" w:noHBand="0" w:noVBand="1" w:val="04A0"/>
      </w:tblPr>
      <w:tblGrid>
        <w:gridCol w:w="5040"/>
        <w:gridCol w:w="5040"/>
      </w:tblGrid>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Indicador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Tasa de quiebre de stock</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Investigador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Guerrero Mora, Carlos David Elian</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Lugar de estudio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Minimarket Taully, Comas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Formula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TQS = (DQS / DD) x 100</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Definicion operativa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TQS mide los días con quiebre de stock dentro de los días evaluados.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Fuente de datos</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Registro diario completo de productos agotados requerido. No se puede sustituir por ausencia de venta.</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Periodo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Pretest. Validación histórica del 19 al 25 de mayo de 2026. Corte de entrenamiento: 18 de mayo de 2026.</w:t>
            </w:r>
          </w:p>
        </w:tc>
      </w:tr>
    </w:tbl>
    <w:p>
      <w:pPr>
        <w:spacing w:after="40"/>
      </w:pP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N°</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DQS</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DD</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TQS</w:t>
            </w:r>
          </w:p>
        </w:tc>
      </w:tr>
      <w:tr>
        <w:tc>
          <w:tcPr>
            <w:tcW w:type="dxa" w:w="8784"/>
            <w:vAlign w:val="center"/>
            <w:tcMar>
              <w:top w:w="90" w:type="dxa"/>
              <w:start w:w="110" w:type="dxa"/>
              <w:bottom w:w="90" w:type="dxa"/>
              <w:end w:w="110" w:type="dxa"/>
            </w:tcMar>
            <w:gridSpan w:val="4"/>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No se calcula TQS: el archivo no registra la disponibilidad de todo el catálogo en cada día. Un producto sin venta no demuestra que se encontraba disponible ni agotado.</w:t>
            </w:r>
          </w:p>
          <w:p>
            <w:pPr>
              <w:spacing w:after="0" w:before="0" w:line="252" w:lineRule="auto"/>
              <w:jc w:val="left"/>
            </w:pPr>
            <w:r/>
            <w:r>
              <w:rPr>
                <w:rFonts w:ascii="Arial" w:hAnsi="Arial"/>
                <w:b w:val="0"/>
                <w:color w:val="1F1F1F"/>
                <w:sz w:val="18"/>
              </w:rPr>
            </w:r>
          </w:p>
          <w:p>
            <w:pPr>
              <w:spacing w:after="0" w:before="0" w:line="252" w:lineRule="auto"/>
              <w:jc w:val="left"/>
            </w:pPr>
            <w:r/>
            <w:r>
              <w:rPr>
                <w:rFonts w:ascii="Arial" w:hAnsi="Arial"/>
                <w:b w:val="0"/>
                <w:color w:val="1F1F1F"/>
                <w:sz w:val="18"/>
              </w:rPr>
            </w:r>
          </w:p>
          <w:p>
            <w:pPr>
              <w:spacing w:after="0" w:before="0" w:line="252" w:lineRule="auto"/>
              <w:jc w:val="left"/>
            </w:pPr>
            <w:r/>
            <w:r>
              <w:rPr>
                <w:rFonts w:ascii="Arial" w:hAnsi="Arial"/>
                <w:b w:val="0"/>
                <w:color w:val="1F1F1F"/>
                <w:sz w:val="18"/>
              </w:rPr>
            </w:r>
          </w:p>
        </w:tc>
      </w:tr>
    </w:tbl>
    <w:p>
      <w:pPr>
        <w:spacing w:after="0"/>
      </w:pPr>
    </w:p>
    <w:p>
      <w:r>
        <w:br w:type="page"/>
      </w:r>
    </w:p>
    <w:p>
      <w:pPr>
        <w:pStyle w:val="Heading1"/>
        <w:keepNext/>
        <w:spacing w:before="80" w:after="80"/>
      </w:pPr>
      <w:r>
        <w:rPr>
          <w:rFonts w:ascii="Arial" w:hAnsi="Arial"/>
          <w:b/>
          <w:i w:val="0"/>
          <w:color w:val="000000"/>
          <w:sz w:val="21"/>
        </w:rPr>
        <w:t>Instrumento de recolección de datos del indicador para el pretest Estacionalidad</w:t>
      </w:r>
    </w:p>
    <w:tbl>
      <w:tblPr>
        <w:tblW w:type="auto" w:w="0"/>
        <w:jc w:val="center"/>
        <w:tblLayout w:type="fixed"/>
        <w:tblLook w:firstColumn="1" w:firstRow="1" w:lastColumn="0" w:lastRow="0" w:noHBand="0" w:noVBand="1" w:val="04A0"/>
      </w:tblPr>
      <w:tblGrid>
        <w:gridCol w:w="5040"/>
        <w:gridCol w:w="5040"/>
      </w:tblGrid>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Indicador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Estacionalidad</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Investigador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Guerrero Mora, Carlos David Elian</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Lugar de estudio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Minimarket Taully, Comas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Formula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IE = VD / VPM</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Definicion operativa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IE compara la venta diaria final del período con la venta promedio diaria del mes completo anterior.</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Fuente de datos</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Reportes diarios de venta consolidados. VPM corresponde al promedio diario de abril de 2026.</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Periodo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Pretest. Validación histórica del 19 al 25 de mayo de 2026. Corte de entrenamiento: 18 de mayo de 2026.</w:t>
            </w:r>
          </w:p>
        </w:tc>
      </w:tr>
    </w:tbl>
    <w:p>
      <w:pPr>
        <w:spacing w:after="40"/>
      </w:pP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Categoría</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VD</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VPM</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IE</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ABARROTES</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51</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47,83</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1,07</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Pr>
                <w:rFonts w:ascii="Arial" w:hAnsi="Arial"/>
                <w:b w:val="0"/>
                <w:i w:val="0"/>
                <w:color w:val="000000"/>
                <w:sz w:val="16"/>
              </w:rPr>
              <w:t>BEBIDAS</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66</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80,10</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0,82</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GOLOSINAS</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60</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69,80</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0,86</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Pr>
                <w:rFonts w:ascii="Arial" w:hAnsi="Arial"/>
                <w:b w:val="0"/>
                <w:i w:val="0"/>
                <w:color w:val="000000"/>
                <w:sz w:val="16"/>
              </w:rPr>
              <w:t>HELADOS</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15</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25,80</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0,58</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LIMPIEZA</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5</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15,67</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0,32</w:t>
            </w:r>
          </w:p>
        </w:tc>
      </w:tr>
    </w:tbl>
    <w:p>
      <w:pPr>
        <w:spacing w:after="0"/>
      </w:pPr>
    </w:p>
    <w:p>
      <w:r>
        <w:br w:type="page"/>
      </w:r>
    </w:p>
    <w:p>
      <w:pPr>
        <w:pStyle w:val="Heading1"/>
        <w:keepNext/>
        <w:spacing w:before="80" w:after="80"/>
      </w:pPr>
      <w:r>
        <w:rPr>
          <w:rFonts w:ascii="Arial" w:hAnsi="Arial"/>
          <w:b/>
          <w:i w:val="0"/>
          <w:color w:val="000000"/>
          <w:sz w:val="21"/>
        </w:rPr>
        <w:t>Instrumento de recolección de datos del indicador para el pretest Error de pronóstico</w:t>
      </w:r>
    </w:p>
    <w:tbl>
      <w:tblPr>
        <w:tblW w:type="auto" w:w="0"/>
        <w:jc w:val="center"/>
        <w:tblLayout w:type="fixed"/>
        <w:tblLook w:firstColumn="1" w:firstRow="1" w:lastColumn="0" w:lastRow="0" w:noHBand="0" w:noVBand="1" w:val="04A0"/>
      </w:tblPr>
      <w:tblGrid>
        <w:gridCol w:w="5040"/>
        <w:gridCol w:w="5040"/>
      </w:tblGrid>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Indicador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Error de pronóstico</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Investigador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Guerrero Mora, Carlos David Elian</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Lugar de estudio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Minimarket Taully, Comas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Formula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MAPE = (100 / n) x sumatoria de |(DR - DP) / DR|</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Definicion operativa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MAPE mide el error porcentual medio al comparar la demanda real y la demanda pronosticada para cada categoría y día.</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Fuente de datos</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Cálculo externo transparente del promedio móvil simple de siete días y reportes diarios de ventas.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Periodo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Pretest. Validación histórica del 19 al 25 de mayo de 2026. Corte de entrenamiento: 18 de mayo de 2026.</w:t>
            </w:r>
          </w:p>
        </w:tc>
      </w:tr>
    </w:tbl>
    <w:p>
      <w:pPr>
        <w:spacing w:after="40"/>
      </w:pP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Categoría</w:t>
            </w:r>
          </w:p>
        </w:tc>
        <w:tc>
          <w:tcPr>
            <w:tcW w:type="dxa" w:w="244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Demanda real DR</w:t>
            </w:r>
          </w:p>
        </w:tc>
        <w:tc>
          <w:tcPr>
            <w:tcW w:type="dxa" w:w="34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Demanda pronosticada DP</w:t>
            </w:r>
          </w:p>
        </w:tc>
        <w:tc>
          <w:tcPr>
            <w:tcW w:type="dxa" w:w="216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MAPE</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ABARROTES</w:t>
            </w:r>
          </w:p>
        </w:tc>
        <w:tc>
          <w:tcPr>
            <w:tcW w:type="dxa" w:w="244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355</w:t>
            </w:r>
          </w:p>
        </w:tc>
        <w:tc>
          <w:tcPr>
            <w:tcW w:type="dxa" w:w="34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367,38</w:t>
            </w:r>
          </w:p>
        </w:tc>
        <w:tc>
          <w:tcPr>
            <w:tcW w:type="dxa" w:w="216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12,29%</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Pr>
                <w:rFonts w:ascii="Arial" w:hAnsi="Arial"/>
                <w:b w:val="0"/>
                <w:i w:val="0"/>
                <w:color w:val="000000"/>
                <w:sz w:val="16"/>
              </w:rPr>
              <w:t>BEBIDAS</w:t>
            </w:r>
          </w:p>
        </w:tc>
        <w:tc>
          <w:tcPr>
            <w:tcW w:type="dxa" w:w="244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563</w:t>
            </w:r>
          </w:p>
        </w:tc>
        <w:tc>
          <w:tcPr>
            <w:tcW w:type="dxa" w:w="34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700,88</w:t>
            </w:r>
          </w:p>
        </w:tc>
        <w:tc>
          <w:tcPr>
            <w:tcW w:type="dxa" w:w="216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40,24%</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GOLOSINAS</w:t>
            </w:r>
          </w:p>
        </w:tc>
        <w:tc>
          <w:tcPr>
            <w:tcW w:type="dxa" w:w="244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464</w:t>
            </w:r>
          </w:p>
        </w:tc>
        <w:tc>
          <w:tcPr>
            <w:tcW w:type="dxa" w:w="34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505,77</w:t>
            </w:r>
          </w:p>
        </w:tc>
        <w:tc>
          <w:tcPr>
            <w:tcW w:type="dxa" w:w="216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20,14%</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Pr>
                <w:rFonts w:ascii="Arial" w:hAnsi="Arial"/>
                <w:b w:val="0"/>
                <w:i w:val="0"/>
                <w:color w:val="000000"/>
                <w:sz w:val="16"/>
              </w:rPr>
              <w:t>HELADOS</w:t>
            </w:r>
          </w:p>
        </w:tc>
        <w:tc>
          <w:tcPr>
            <w:tcW w:type="dxa" w:w="244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173</w:t>
            </w:r>
          </w:p>
        </w:tc>
        <w:tc>
          <w:tcPr>
            <w:tcW w:type="dxa" w:w="34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183,67</w:t>
            </w:r>
          </w:p>
        </w:tc>
        <w:tc>
          <w:tcPr>
            <w:tcW w:type="dxa" w:w="216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42,34%</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LIMPIEZA</w:t>
            </w:r>
          </w:p>
        </w:tc>
        <w:tc>
          <w:tcPr>
            <w:tcW w:type="dxa" w:w="244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106</w:t>
            </w:r>
          </w:p>
        </w:tc>
        <w:tc>
          <w:tcPr>
            <w:tcW w:type="dxa" w:w="34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106,50</w:t>
            </w:r>
          </w:p>
        </w:tc>
        <w:tc>
          <w:tcPr>
            <w:tcW w:type="dxa" w:w="216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44,48%</w:t>
            </w:r>
          </w:p>
        </w:tc>
      </w:tr>
    </w:tbl>
    <w:p>
      <w:pPr>
        <w:spacing w:after="0"/>
      </w:pPr>
    </w:p>
    <w:p>
      <w:r>
        <w:br w:type="page"/>
      </w:r>
    </w:p>
    <w:p>
      <w:pPr>
        <w:pStyle w:val="Heading1"/>
        <w:keepNext/>
        <w:spacing w:before="80" w:after="80"/>
      </w:pPr>
      <w:r>
        <w:rPr>
          <w:rFonts w:ascii="Arial" w:hAnsi="Arial"/>
          <w:b/>
          <w:i w:val="0"/>
          <w:color w:val="000000"/>
          <w:sz w:val="21"/>
        </w:rPr>
        <w:t>Instrumento de recolección de datos de la dimensión para el pretest Volumen de demanda</w:t>
      </w:r>
    </w:p>
    <w:tbl>
      <w:tblPr>
        <w:tblW w:type="auto" w:w="0"/>
        <w:jc w:val="center"/>
        <w:tblLayout w:type="fixed"/>
        <w:tblLook w:firstColumn="1" w:firstRow="1" w:lastColumn="0" w:lastRow="0" w:noHBand="0" w:noVBand="1" w:val="04A0"/>
      </w:tblPr>
      <w:tblGrid>
        <w:gridCol w:w="5040"/>
        <w:gridCol w:w="5040"/>
      </w:tblGrid>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Indicador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Cantidad demandada</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Investigador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Guerrero Mora, Carlos David Elian</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Lugar de estudio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Minimarket Taully, Comas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Formula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CD = sumatoria de ventas realizadas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Definicion operativa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CD corresponde a las unidades vendidas consolidadas durante los siete días evaluados.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Fuente de datos</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Reportes diarios de venta consolidados por categoría.</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Periodo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Pretest. Validación histórica del 19 al 25 de mayo de 2026. Corte de entrenamiento: 18 de mayo de 2026.</w:t>
            </w:r>
          </w:p>
        </w:tc>
      </w:tr>
    </w:tbl>
    <w:p>
      <w:pPr>
        <w:spacing w:after="40"/>
      </w:pP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Categoría</w:t>
            </w:r>
          </w:p>
        </w:tc>
        <w:tc>
          <w:tcPr>
            <w:tcW w:type="dxa" w:w="40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Cantidad vendida</w:t>
            </w:r>
          </w:p>
        </w:tc>
        <w:tc>
          <w:tcPr>
            <w:tcW w:type="dxa" w:w="23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Cantidad demandada CD</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Período</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ABARROTES</w:t>
            </w:r>
          </w:p>
        </w:tc>
        <w:tc>
          <w:tcPr>
            <w:tcW w:type="dxa" w:w="40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355</w:t>
            </w:r>
          </w:p>
        </w:tc>
        <w:tc>
          <w:tcPr>
            <w:tcW w:type="dxa" w:w="23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355</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7 días</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Pr>
                <w:rFonts w:ascii="Arial" w:hAnsi="Arial"/>
                <w:b w:val="0"/>
                <w:i w:val="0"/>
                <w:color w:val="000000"/>
                <w:sz w:val="16"/>
              </w:rPr>
              <w:t>BEBIDAS</w:t>
            </w:r>
          </w:p>
        </w:tc>
        <w:tc>
          <w:tcPr>
            <w:tcW w:type="dxa" w:w="40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563</w:t>
            </w:r>
          </w:p>
        </w:tc>
        <w:tc>
          <w:tcPr>
            <w:tcW w:type="dxa" w:w="23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563</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7 días</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GOLOSINAS</w:t>
            </w:r>
          </w:p>
        </w:tc>
        <w:tc>
          <w:tcPr>
            <w:tcW w:type="dxa" w:w="40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464</w:t>
            </w:r>
          </w:p>
        </w:tc>
        <w:tc>
          <w:tcPr>
            <w:tcW w:type="dxa" w:w="23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464</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7 días</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Pr>
                <w:rFonts w:ascii="Arial" w:hAnsi="Arial"/>
                <w:b w:val="0"/>
                <w:i w:val="0"/>
                <w:color w:val="000000"/>
                <w:sz w:val="16"/>
              </w:rPr>
              <w:t>HELADOS</w:t>
            </w:r>
          </w:p>
        </w:tc>
        <w:tc>
          <w:tcPr>
            <w:tcW w:type="dxa" w:w="40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173</w:t>
            </w:r>
          </w:p>
        </w:tc>
        <w:tc>
          <w:tcPr>
            <w:tcW w:type="dxa" w:w="23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173</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7 días</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LIMPIEZA</w:t>
            </w:r>
          </w:p>
        </w:tc>
        <w:tc>
          <w:tcPr>
            <w:tcW w:type="dxa" w:w="40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106</w:t>
            </w:r>
          </w:p>
        </w:tc>
        <w:tc>
          <w:tcPr>
            <w:tcW w:type="dxa" w:w="23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106</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7 días</w:t>
            </w:r>
          </w:p>
        </w:tc>
      </w:tr>
    </w:tbl>
    <w:p>
      <w:pPr>
        <w:spacing w:after="0"/>
      </w:pPr>
    </w:p>
    <w:p>
      <w:r>
        <w:br w:type="page"/>
      </w:r>
    </w:p>
    <w:p>
      <w:pPr>
        <w:pStyle w:val="Heading1"/>
        <w:keepNext/>
        <w:spacing w:before="80" w:after="80"/>
      </w:pPr>
      <w:r>
        <w:rPr>
          <w:rFonts w:ascii="Arial" w:hAnsi="Arial"/>
          <w:b/>
          <w:i w:val="0"/>
          <w:color w:val="000000"/>
          <w:sz w:val="21"/>
        </w:rPr>
        <w:t>Instrumento de recolección de datos de la dimensión para el pretest Patrón de demanda</w:t>
      </w:r>
    </w:p>
    <w:tbl>
      <w:tblPr>
        <w:tblW w:type="auto" w:w="0"/>
        <w:jc w:val="center"/>
        <w:tblLayout w:type="fixed"/>
        <w:tblLook w:firstColumn="1" w:firstRow="1" w:lastColumn="0" w:lastRow="0" w:noHBand="0" w:noVBand="1" w:val="04A0"/>
      </w:tblPr>
      <w:tblGrid>
        <w:gridCol w:w="5040"/>
        <w:gridCol w:w="5040"/>
      </w:tblGrid>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Indicador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Estacionalidad</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Investigador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Guerrero Mora, Carlos David Elian</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Lugar de estudio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Minimarket Taully, Comas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Formula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IE = VP / VPR</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Definicion operativa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IE compara el promedio diario vendido en el período con el promedio diario de referencia anterior a la fecha de corte.</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Fuente de datos</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Reportes diarios de venta consolidados. VPR usa del 01 de abril al 18 de mayo de 2026.</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Periodo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Pretest. Validación histórica del 19 al 25 de mayo de 2026. Corte de entrenamiento: 18 de mayo de 2026.</w:t>
            </w:r>
          </w:p>
        </w:tc>
      </w:tr>
    </w:tbl>
    <w:p>
      <w:pPr>
        <w:spacing w:after="40"/>
      </w:pP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Categoría</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Venta del período VP</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Venta promedio VPR</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Índice estacional IE</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ABARROTES</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50,71</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47,73</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1,06</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Pr>
                <w:rFonts w:ascii="Arial" w:hAnsi="Arial"/>
                <w:b w:val="0"/>
                <w:i w:val="0"/>
                <w:color w:val="000000"/>
                <w:sz w:val="16"/>
              </w:rPr>
              <w:t>BEBIDAS</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80,43</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83,75</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0,96</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GOLOSINAS</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66,29</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73,06</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0,91</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Pr>
                <w:rFonts w:ascii="Arial" w:hAnsi="Arial"/>
                <w:b w:val="0"/>
                <w:i w:val="0"/>
                <w:color w:val="000000"/>
                <w:sz w:val="16"/>
              </w:rPr>
              <w:t>HELADOS</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24,71</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25,83</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0,96</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LIMPIEZA</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15,14</w:t>
            </w:r>
          </w:p>
        </w:tc>
        <w:tc>
          <w:tcPr>
            <w:tcW w:type="dxa" w:w="288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15,83</w:t>
            </w:r>
          </w:p>
        </w:tc>
        <w:tc>
          <w:tcPr>
            <w:tcW w:type="dxa" w:w="259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0,96</w:t>
            </w:r>
          </w:p>
        </w:tc>
      </w:tr>
    </w:tbl>
    <w:p>
      <w:pPr>
        <w:spacing w:after="0"/>
      </w:pPr>
    </w:p>
    <w:p>
      <w:r>
        <w:br w:type="page"/>
      </w:r>
    </w:p>
    <w:p>
      <w:pPr>
        <w:pStyle w:val="Heading1"/>
        <w:keepNext/>
        <w:spacing w:before="80" w:after="80"/>
      </w:pPr>
      <w:r>
        <w:rPr>
          <w:rFonts w:ascii="Arial" w:hAnsi="Arial"/>
          <w:b/>
          <w:i w:val="0"/>
          <w:color w:val="000000"/>
          <w:sz w:val="21"/>
        </w:rPr>
        <w:t>Instrumento de recolección de datos de la dimensión para el pretest Precisión del pronóstico</w:t>
      </w:r>
    </w:p>
    <w:tbl>
      <w:tblPr>
        <w:tblW w:type="auto" w:w="0"/>
        <w:jc w:val="center"/>
        <w:tblLayout w:type="fixed"/>
        <w:tblLook w:firstColumn="1" w:firstRow="1" w:lastColumn="0" w:lastRow="0" w:noHBand="0" w:noVBand="1" w:val="04A0"/>
      </w:tblPr>
      <w:tblGrid>
        <w:gridCol w:w="5040"/>
        <w:gridCol w:w="5040"/>
      </w:tblGrid>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Indicador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Precisión del pronóstico</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Investigador</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Guerrero Mora, Carlos David Elian</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Lugar de estudio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Minimarket Taully, Comas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Formula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MAPE = (100 / n) x sumatoria de |(DR - DP) / DR|</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Definicion operativa</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La precisión se determina comparando el pronóstico y la demanda real en las 35 observaciones de categoría y día.</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Fuente de datos</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pPr>
            <w:r>
              <w:rPr>
                <w:rFonts w:ascii="Arial" w:hAnsi="Arial"/>
                <w:b w:val="0"/>
                <w:i w:val="0"/>
                <w:color w:val="000000"/>
                <w:sz w:val="17"/>
              </w:rPr>
              <w:t>Cálculo externo transparente del promedio móvil simple de siete días y reportes diarios de ventas.</w:t>
            </w:r>
          </w:p>
        </w:tc>
      </w:tr>
      <w:tr>
        <w:tc>
          <w:tcPr>
            <w:tcW w:type="dxa" w:w="2232"/>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pPr>
            <w:r/>
            <w:r>
              <w:rPr>
                <w:rFonts w:ascii="Arial" w:hAnsi="Arial"/>
                <w:b/>
                <w:color w:val="FFFFFF"/>
                <w:sz w:val="18"/>
              </w:rPr>
              <w:t>Periodo</w:t>
            </w:r>
          </w:p>
        </w:tc>
        <w:tc>
          <w:tcPr>
            <w:tcW w:type="dxa" w:w="7704"/>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pPr>
            <w:r>
              <w:rPr>
                <w:rFonts w:ascii="Arial" w:hAnsi="Arial"/>
                <w:b w:val="0"/>
                <w:i w:val="0"/>
                <w:color w:val="000000"/>
                <w:sz w:val="17"/>
              </w:rPr>
              <w:t>Pretest. Validación histórica del 19 al 25 de mayo de 2026. Corte de entrenamiento: 18 de mayo de 2026.</w:t>
            </w:r>
          </w:p>
        </w:tc>
      </w:tr>
    </w:tbl>
    <w:p>
      <w:pPr>
        <w:spacing w:after="40"/>
      </w:pP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Categoría</w:t>
            </w:r>
          </w:p>
        </w:tc>
        <w:tc>
          <w:tcPr>
            <w:tcW w:type="dxa" w:w="244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Demanda real DR</w:t>
            </w:r>
          </w:p>
        </w:tc>
        <w:tc>
          <w:tcPr>
            <w:tcW w:type="dxa" w:w="34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Demanda pronosticada DP</w:t>
            </w:r>
          </w:p>
        </w:tc>
        <w:tc>
          <w:tcPr>
            <w:tcW w:type="dxa" w:w="216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17365D" w:val="clear"/>
          </w:tcPr>
          <w:p>
            <w:pPr>
              <w:spacing w:after="0" w:before="0" w:line="252" w:lineRule="auto"/>
              <w:jc w:val="center"/>
            </w:pPr>
            <w:r>
              <w:rPr>
                <w:rFonts w:ascii="Arial" w:hAnsi="Arial"/>
                <w:b/>
                <w:i w:val="0"/>
                <w:color w:val="000000"/>
                <w:sz w:val="16"/>
              </w:rPr>
              <w:t>MAPE</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ABARROTES</w:t>
            </w:r>
          </w:p>
        </w:tc>
        <w:tc>
          <w:tcPr>
            <w:tcW w:type="dxa" w:w="244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355</w:t>
            </w:r>
          </w:p>
        </w:tc>
        <w:tc>
          <w:tcPr>
            <w:tcW w:type="dxa" w:w="34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367,38</w:t>
            </w:r>
          </w:p>
        </w:tc>
        <w:tc>
          <w:tcPr>
            <w:tcW w:type="dxa" w:w="216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12,29%</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Pr>
                <w:rFonts w:ascii="Arial" w:hAnsi="Arial"/>
                <w:b w:val="0"/>
                <w:i w:val="0"/>
                <w:color w:val="000000"/>
                <w:sz w:val="16"/>
              </w:rPr>
              <w:t>BEBIDAS</w:t>
            </w:r>
          </w:p>
        </w:tc>
        <w:tc>
          <w:tcPr>
            <w:tcW w:type="dxa" w:w="244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563</w:t>
            </w:r>
          </w:p>
        </w:tc>
        <w:tc>
          <w:tcPr>
            <w:tcW w:type="dxa" w:w="34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700,88</w:t>
            </w:r>
          </w:p>
        </w:tc>
        <w:tc>
          <w:tcPr>
            <w:tcW w:type="dxa" w:w="216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40,24%</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GOLOSINAS</w:t>
            </w:r>
          </w:p>
        </w:tc>
        <w:tc>
          <w:tcPr>
            <w:tcW w:type="dxa" w:w="244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464</w:t>
            </w:r>
          </w:p>
        </w:tc>
        <w:tc>
          <w:tcPr>
            <w:tcW w:type="dxa" w:w="34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505,77</w:t>
            </w:r>
          </w:p>
        </w:tc>
        <w:tc>
          <w:tcPr>
            <w:tcW w:type="dxa" w:w="216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20,14%</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left"/>
            </w:pPr>
            <w:r>
              <w:rPr>
                <w:rFonts w:ascii="Arial" w:hAnsi="Arial"/>
                <w:b w:val="0"/>
                <w:i w:val="0"/>
                <w:color w:val="000000"/>
                <w:sz w:val="16"/>
              </w:rPr>
              <w:t>HELADOS</w:t>
            </w:r>
          </w:p>
        </w:tc>
        <w:tc>
          <w:tcPr>
            <w:tcW w:type="dxa" w:w="244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173</w:t>
            </w:r>
          </w:p>
        </w:tc>
        <w:tc>
          <w:tcPr>
            <w:tcW w:type="dxa" w:w="34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183,67</w:t>
            </w:r>
          </w:p>
        </w:tc>
        <w:tc>
          <w:tcPr>
            <w:tcW w:type="dxa" w:w="216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3F7FB" w:val="clear"/>
          </w:tcPr>
          <w:p>
            <w:pPr>
              <w:spacing w:after="0" w:before="0" w:line="252" w:lineRule="auto"/>
              <w:jc w:val="right"/>
            </w:pPr>
            <w:r>
              <w:rPr>
                <w:rFonts w:ascii="Arial" w:hAnsi="Arial"/>
                <w:b w:val="0"/>
                <w:i w:val="0"/>
                <w:color w:val="000000"/>
                <w:sz w:val="16"/>
              </w:rPr>
              <w:t>42,34%</w:t>
            </w:r>
          </w:p>
        </w:tc>
      </w:tr>
      <w:tr>
        <w:tc>
          <w:tcPr>
            <w:tcW w:type="dxa" w:w="100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left"/>
            </w:pPr>
            <w:r>
              <w:rPr>
                <w:rFonts w:ascii="Arial" w:hAnsi="Arial"/>
                <w:b w:val="0"/>
                <w:i w:val="0"/>
                <w:color w:val="000000"/>
                <w:sz w:val="16"/>
              </w:rPr>
              <w:t>LIMPIEZA</w:t>
            </w:r>
          </w:p>
        </w:tc>
        <w:tc>
          <w:tcPr>
            <w:tcW w:type="dxa" w:w="2448"/>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106</w:t>
            </w:r>
          </w:p>
        </w:tc>
        <w:tc>
          <w:tcPr>
            <w:tcW w:type="dxa" w:w="3456"/>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106,50</w:t>
            </w:r>
          </w:p>
        </w:tc>
        <w:tc>
          <w:tcPr>
            <w:tcW w:type="dxa" w:w="2160"/>
            <w:vAlign w:val="center"/>
            <w:tcMar>
              <w:top w:w="90" w:type="dxa"/>
              <w:start w:w="110" w:type="dxa"/>
              <w:bottom w:w="90" w:type="dxa"/>
              <w:end w:w="110" w:type="dxa"/>
            </w:tcMar>
            <w:tcBorders>
              <w:top w:val="single" w:sz="8" w:space="0" w:color="D9D9D9"/>
              <w:left w:val="single" w:sz="8" w:space="0" w:color="D9D9D9"/>
              <w:bottom w:val="single" w:sz="8" w:space="0" w:color="D9D9D9"/>
              <w:right w:val="single" w:sz="8" w:space="0" w:color="D9D9D9"/>
            </w:tcBorders>
            <w:shd w:fill="FFFFFF" w:val="clear"/>
          </w:tcPr>
          <w:p>
            <w:pPr>
              <w:spacing w:after="0" w:before="0" w:line="252" w:lineRule="auto"/>
              <w:jc w:val="right"/>
            </w:pPr>
            <w:r>
              <w:rPr>
                <w:rFonts w:ascii="Arial" w:hAnsi="Arial"/>
                <w:b w:val="0"/>
                <w:i w:val="0"/>
                <w:color w:val="000000"/>
                <w:sz w:val="16"/>
              </w:rPr>
              <w:t>44,48%</w:t>
            </w:r>
          </w:p>
        </w:tc>
      </w:tr>
    </w:tbl>
    <w:p>
      <w:pPr>
        <w:spacing w:after="0"/>
      </w:pPr>
    </w:p>
    <w:p>
      <w:pPr>
        <w:spacing w:before="120" w:after="60"/>
        <w:jc w:val="both"/>
      </w:pPr>
      <w:r>
        <w:rPr>
          <w:rFonts w:ascii="Arial" w:hAnsi="Arial"/>
          <w:b/>
          <w:i w:val="0"/>
          <w:color w:val="000000"/>
          <w:sz w:val="19"/>
        </w:rPr>
        <w:t>Resultado global del pretest: MAE 11,47, RMSE 15,66, MAPE 31,90% y WAPE 24,17%, calculados sobre 35 observaciones.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