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28"/>
        </w:rPr>
        <w:t>Postest Validación histórica Modelo predictivo</w:t>
      </w:r>
    </w:p>
    <w:p>
      <w:pPr>
        <w:spacing w:before="0" w:after="8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Esta ficha registra la evaluación del modelo predictivo con las mismas ventas reales usadas para la referencia PMS-7. El modelo se entrenó únicamente con información anterior a la fecha de corte.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Datos de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Investigador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Lugar de estudio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de corte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8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Período evaluado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Del 9 de septiembre de 2026 al 15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Modelo predictivo del sistema entrenado con información anterior al período evaluado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Observaciones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35 observaciones diarias de 5 categorías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Ventas reales consolidadas y pronóstico del modelo generado antes del período evaluado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Resultados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90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950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</w:t>
            </w:r>
          </w:p>
        </w:tc>
        <w:tc>
          <w:tcPr>
            <w:tcW w:type="dxa" w:w="126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DP modelo</w:t>
            </w:r>
          </w:p>
        </w:tc>
        <w:tc>
          <w:tcPr>
            <w:tcW w:type="dxa" w:w="106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WAPE</w:t>
            </w:r>
          </w:p>
        </w:tc>
        <w:tc>
          <w:tcPr>
            <w:tcW w:type="dxa" w:w="106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MAPE</w:t>
            </w:r>
          </w:p>
        </w:tc>
        <w:tc>
          <w:tcPr>
            <w:tcW w:type="dxa" w:w="87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00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RMSE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ABARROTES</w:t>
            </w:r>
          </w:p>
        </w:tc>
        <w:tc>
          <w:tcPr>
            <w:tcW w:type="dxa" w:w="9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330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399.75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30.38%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39.51%</w:t>
            </w:r>
          </w:p>
        </w:tc>
        <w:tc>
          <w:tcPr>
            <w:tcW w:type="dxa" w:w="87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14.32</w:t>
            </w:r>
          </w:p>
        </w:tc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17.74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BEBIDAS</w:t>
            </w:r>
          </w:p>
        </w:tc>
        <w:tc>
          <w:tcPr>
            <w:tcW w:type="dxa" w:w="9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611</w:t>
            </w:r>
          </w:p>
        </w:tc>
        <w:tc>
          <w:tcPr>
            <w:tcW w:type="dxa" w:w="126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672.50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12.68%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15.63%</w:t>
            </w:r>
          </w:p>
        </w:tc>
        <w:tc>
          <w:tcPr>
            <w:tcW w:type="dxa" w:w="87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11.07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15.84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GOLOSINAS</w:t>
            </w:r>
          </w:p>
        </w:tc>
        <w:tc>
          <w:tcPr>
            <w:tcW w:type="dxa" w:w="9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496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549.38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20.97%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22.74%</w:t>
            </w:r>
          </w:p>
        </w:tc>
        <w:tc>
          <w:tcPr>
            <w:tcW w:type="dxa" w:w="87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14.86</w:t>
            </w:r>
          </w:p>
        </w:tc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18.23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HELADOS</w:t>
            </w:r>
          </w:p>
        </w:tc>
        <w:tc>
          <w:tcPr>
            <w:tcW w:type="dxa" w:w="9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146</w:t>
            </w:r>
          </w:p>
        </w:tc>
        <w:tc>
          <w:tcPr>
            <w:tcW w:type="dxa" w:w="126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188.00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32.53%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44.33%</w:t>
            </w:r>
          </w:p>
        </w:tc>
        <w:tc>
          <w:tcPr>
            <w:tcW w:type="dxa" w:w="87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6.79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8.37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LIMPIEZA</w:t>
            </w:r>
          </w:p>
        </w:tc>
        <w:tc>
          <w:tcPr>
            <w:tcW w:type="dxa" w:w="9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88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121.75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40.06%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47.27%</w:t>
            </w:r>
          </w:p>
        </w:tc>
        <w:tc>
          <w:tcPr>
            <w:tcW w:type="dxa" w:w="87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5.04</w:t>
            </w:r>
          </w:p>
        </w:tc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5.95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Total</w:t>
            </w:r>
          </w:p>
        </w:tc>
        <w:tc>
          <w:tcPr>
            <w:tcW w:type="dxa" w:w="9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1,671</w:t>
            </w:r>
          </w:p>
        </w:tc>
        <w:tc>
          <w:tcPr>
            <w:tcW w:type="dxa" w:w="126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1,931.38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21.81%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33.89%</w:t>
            </w:r>
          </w:p>
        </w:tc>
        <w:tc>
          <w:tcPr>
            <w:tcW w:type="dxa" w:w="87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10.41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14.17</w:t>
            </w:r>
          </w:p>
        </w:tc>
      </w:tr>
    </w:tbl>
    <w:p>
      <w:pPr>
        <w:spacing w:before="0" w:after="100" w:line="269" w:lineRule="auto"/>
      </w:pPr>
      <w:r>
        <w:rPr>
          <w:rFonts w:ascii="Arial" w:hAnsi="Arial"/>
          <w:b w:val="0"/>
          <w:i/>
          <w:color w:val="1F2933"/>
          <w:sz w:val="17"/>
        </w:rPr>
        <w:t>Nota. DR: demanda real. DP: demanda pronosticada. MAPE se calcula a partir de las observaciones diarias de cada categoría.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Resumen de métricas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90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6365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Lectura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WAPE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21.81%</w:t>
            </w:r>
          </w:p>
        </w:tc>
        <w:tc>
          <w:tcPr>
            <w:tcW w:type="dxa" w:w="636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ponderado respecto de la demanda total</w:t>
            </w:r>
          </w:p>
        </w:tc>
      </w:tr>
      <w:tr>
        <w:trPr>
          <w:cantSplit/>
        </w:trPr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MAPE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33.89%</w:t>
            </w:r>
          </w:p>
        </w:tc>
        <w:tc>
          <w:tcPr>
            <w:tcW w:type="dxa" w:w="636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porcentual absoluto medio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MAE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10.41</w:t>
            </w:r>
          </w:p>
        </w:tc>
        <w:tc>
          <w:tcPr>
            <w:tcW w:type="dxa" w:w="636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absoluto medio en unidades</w:t>
            </w:r>
          </w:p>
        </w:tc>
      </w:tr>
      <w:tr>
        <w:trPr>
          <w:cantSplit/>
        </w:trPr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RMSE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14.17</w:t>
            </w:r>
          </w:p>
        </w:tc>
        <w:tc>
          <w:tcPr>
            <w:tcW w:type="dxa" w:w="636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Penaliza los errores de mayor magnitud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Método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Modelo predictivo</w:t>
            </w:r>
          </w:p>
        </w:tc>
        <w:tc>
          <w:tcPr>
            <w:tcW w:type="dxa" w:w="636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Un valor menor de error representa mejor ajuste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Comparación con la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555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65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PMS-7</w:t>
            </w:r>
          </w:p>
        </w:tc>
        <w:tc>
          <w:tcPr>
            <w:tcW w:type="dxa" w:w="165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512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Diferencia</w:t>
            </w:r>
          </w:p>
        </w:tc>
        <w:tc>
          <w:tcPr>
            <w:tcW w:type="dxa" w:w="342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WAPE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20.82%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21.81%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+0.99%</w:t>
            </w:r>
          </w:p>
        </w:tc>
        <w:tc>
          <w:tcPr>
            <w:tcW w:type="dxa" w:w="34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  <w:tr>
        <w:trPr>
          <w:cantSplit/>
        </w:trPr>
        <w:tc>
          <w:tcPr>
            <w:tcW w:type="dxa" w:w="155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MAPE</w:t>
            </w:r>
          </w:p>
        </w:tc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31.54%</w:t>
            </w:r>
          </w:p>
        </w:tc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33.89%</w:t>
            </w:r>
          </w:p>
        </w:tc>
        <w:tc>
          <w:tcPr>
            <w:tcW w:type="dxa" w:w="151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+2.35%</w:t>
            </w:r>
          </w:p>
        </w:tc>
        <w:tc>
          <w:tcPr>
            <w:tcW w:type="dxa" w:w="342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MAE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9.94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10.41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+0.47</w:t>
            </w:r>
          </w:p>
        </w:tc>
        <w:tc>
          <w:tcPr>
            <w:tcW w:type="dxa" w:w="342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  <w:tr>
        <w:trPr>
          <w:cantSplit/>
        </w:trPr>
        <w:tc>
          <w:tcPr>
            <w:tcW w:type="dxa" w:w="155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RMSE</w:t>
            </w:r>
          </w:p>
        </w:tc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13.26</w:t>
            </w:r>
          </w:p>
        </w:tc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14.17</w:t>
            </w:r>
          </w:p>
        </w:tc>
        <w:tc>
          <w:tcPr>
            <w:tcW w:type="dxa" w:w="1512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+0.90</w:t>
            </w:r>
          </w:p>
        </w:tc>
        <w:tc>
          <w:tcPr>
            <w:tcW w:type="dxa" w:w="342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 tuvo menor error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/>
          <w:b w:val="0"/>
          <w:i w:val="0"/>
          <w:color w:val="9C1C1C"/>
          <w:sz w:val="17"/>
        </w:rPr>
        <w:t>Interpretación. Para esta fecha de corte, PMS-7 obtuvo menor WAPE, MAPE, MAE y RMSE. Es una validación histórica y no evidencia una mejora del modelo frente a la línea base.</w:t>
      </w:r>
    </w:p>
    <w:sectPr w:rsidR="00FC693F" w:rsidRPr="0006063C" w:rsidSect="00034616">
      <w:footerReference w:type="default" r:id="rId9"/>
      <w:pgSz w:w="12240" w:h="15840"/>
      <w:pgMar w:top="749" w:right="1123" w:bottom="662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6"/>
      </w:rPr>
      <w:t>Postest Validación histórica Modelo predictivo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Postest Validación histórica Modelo predictivo</dc:title>
  <dc:subject>Postest del modelo predictivo. Ejecución postest_20260927t170720z_20260908_7d_7793e883.</dc:subject>
  <dc:creator>Guerrero Mora, Carlos David Elian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