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28"/>
        </w:rPr>
        <w:t>Pretest Validación histórica PMS 7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1F2933"/>
          <w:sz w:val="20"/>
        </w:rPr>
        <w:t>Esta ficha registra la línea base PMS-7 para comparar la exactitud del modelo predictivo. PMS-7 utiliza un promedio móvil simple de siete días y se contrasta con las mismas ventas reales que se emplean en el Postest.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Datos de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8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Investigador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Guerrero Mora, Carlos David Elian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Lugar de estudio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Minimarket Taully, Comas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de corte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8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Período evaluado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Del 9 de septiembre de 2026 al 15 de septiembre de 2026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PMS-7, promedio móvil simple de siete días calculado de forma recursiva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Observaciones</w:t>
            </w:r>
          </w:p>
        </w:tc>
        <w:tc>
          <w:tcPr>
            <w:tcW w:type="dxa" w:w="738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35 observaciones diarias de 5 categorías</w:t>
            </w:r>
          </w:p>
        </w:tc>
      </w:tr>
      <w:tr>
        <w:trPr>
          <w:cantSplit/>
        </w:trPr>
        <w:tc>
          <w:tcPr>
            <w:tcW w:type="dxa" w:w="2534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738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Ventas reales consolidadas y pronóstico base generado antes del período evaluado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Resultados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/>
        </w:trPr>
        <w:tc>
          <w:tcPr>
            <w:tcW w:type="dxa" w:w="51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901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950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DR</w:t>
            </w:r>
          </w:p>
        </w:tc>
        <w:tc>
          <w:tcPr>
            <w:tcW w:type="dxa" w:w="1267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DP PMS-7</w:t>
            </w:r>
          </w:p>
        </w:tc>
        <w:tc>
          <w:tcPr>
            <w:tcW w:type="dxa" w:w="106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WAPE</w:t>
            </w:r>
          </w:p>
        </w:tc>
        <w:tc>
          <w:tcPr>
            <w:tcW w:type="dxa" w:w="106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MAPE</w:t>
            </w:r>
          </w:p>
        </w:tc>
        <w:tc>
          <w:tcPr>
            <w:tcW w:type="dxa" w:w="87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008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RMSE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ABARROTES</w:t>
            </w:r>
          </w:p>
        </w:tc>
        <w:tc>
          <w:tcPr>
            <w:tcW w:type="dxa" w:w="9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330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374.73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22.72%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31.28%</w:t>
            </w:r>
          </w:p>
        </w:tc>
        <w:tc>
          <w:tcPr>
            <w:tcW w:type="dxa" w:w="87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10.71</w:t>
            </w:r>
          </w:p>
        </w:tc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13.97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BEBIDAS</w:t>
            </w:r>
          </w:p>
        </w:tc>
        <w:tc>
          <w:tcPr>
            <w:tcW w:type="dxa" w:w="9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611</w:t>
            </w:r>
          </w:p>
        </w:tc>
        <w:tc>
          <w:tcPr>
            <w:tcW w:type="dxa" w:w="126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646.31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17.05%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19.52%</w:t>
            </w:r>
          </w:p>
        </w:tc>
        <w:tc>
          <w:tcPr>
            <w:tcW w:type="dxa" w:w="87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14.88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17.31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GOLOSINAS</w:t>
            </w:r>
          </w:p>
        </w:tc>
        <w:tc>
          <w:tcPr>
            <w:tcW w:type="dxa" w:w="9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496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482.49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19.45%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18.96%</w:t>
            </w:r>
          </w:p>
        </w:tc>
        <w:tc>
          <w:tcPr>
            <w:tcW w:type="dxa" w:w="87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13.78</w:t>
            </w:r>
          </w:p>
        </w:tc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16.68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HELADOS</w:t>
            </w:r>
          </w:p>
        </w:tc>
        <w:tc>
          <w:tcPr>
            <w:tcW w:type="dxa" w:w="9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146</w:t>
            </w:r>
          </w:p>
        </w:tc>
        <w:tc>
          <w:tcPr>
            <w:tcW w:type="dxa" w:w="126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184.99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31.89%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51.40%</w:t>
            </w:r>
          </w:p>
        </w:tc>
        <w:tc>
          <w:tcPr>
            <w:tcW w:type="dxa" w:w="87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6.65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9.24</w:t>
            </w:r>
          </w:p>
        </w:tc>
      </w:tr>
      <w:tr>
        <w:trPr>
          <w:cantSplit/>
        </w:trPr>
        <w:tc>
          <w:tcPr>
            <w:tcW w:type="dxa" w:w="51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LIMPIEZA</w:t>
            </w:r>
          </w:p>
        </w:tc>
        <w:tc>
          <w:tcPr>
            <w:tcW w:type="dxa" w:w="95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88</w:t>
            </w:r>
          </w:p>
        </w:tc>
        <w:tc>
          <w:tcPr>
            <w:tcW w:type="dxa" w:w="1267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113.46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29.24%</w:t>
            </w:r>
          </w:p>
        </w:tc>
        <w:tc>
          <w:tcPr>
            <w:tcW w:type="dxa" w:w="106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36.54%</w:t>
            </w:r>
          </w:p>
        </w:tc>
        <w:tc>
          <w:tcPr>
            <w:tcW w:type="dxa" w:w="87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3.68</w:t>
            </w:r>
          </w:p>
        </w:tc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4.62</w:t>
            </w:r>
          </w:p>
        </w:tc>
      </w:tr>
      <w:tr>
        <w:trPr>
          <w:cantSplit/>
        </w:trPr>
        <w:tc>
          <w:tcPr>
            <w:tcW w:type="dxa" w:w="51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Total</w:t>
            </w:r>
          </w:p>
        </w:tc>
        <w:tc>
          <w:tcPr>
            <w:tcW w:type="dxa" w:w="950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1,671</w:t>
            </w:r>
          </w:p>
        </w:tc>
        <w:tc>
          <w:tcPr>
            <w:tcW w:type="dxa" w:w="1267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1,801.98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20.82%</w:t>
            </w:r>
          </w:p>
        </w:tc>
        <w:tc>
          <w:tcPr>
            <w:tcW w:type="dxa" w:w="106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31.54%</w:t>
            </w:r>
          </w:p>
        </w:tc>
        <w:tc>
          <w:tcPr>
            <w:tcW w:type="dxa" w:w="87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9.94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/>
                <w:color w:val="1F2933"/>
                <w:sz w:val="16"/>
              </w:rPr>
              <w:t>13.26</w:t>
            </w:r>
          </w:p>
        </w:tc>
      </w:tr>
    </w:tbl>
    <w:p>
      <w:pPr>
        <w:spacing w:before="0" w:after="100" w:line="269" w:lineRule="auto"/>
      </w:pPr>
      <w:r>
        <w:rPr>
          <w:rFonts w:ascii="Arial" w:hAnsi="Arial"/>
          <w:b w:val="0"/>
          <w:i/>
          <w:color w:val="1F2933"/>
          <w:sz w:val="17"/>
        </w:rPr>
        <w:t>Nota. DR: demanda real. DP: demanda pronosticada. MAPE se calcula a partir de las observaciones diarias de cada categoría.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color w:val="000000"/>
          <w:sz w:val="23"/>
        </w:rPr>
        <w:t>Resumen de métricas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1901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6365"/>
            <w:shd w:fill="17365D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Lectura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WAPE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20.82%</w:t>
            </w:r>
          </w:p>
        </w:tc>
        <w:tc>
          <w:tcPr>
            <w:tcW w:type="dxa" w:w="636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Error ponderado respecto de la demanda total</w:t>
            </w:r>
          </w:p>
        </w:tc>
      </w:tr>
      <w:tr>
        <w:trPr>
          <w:cantSplit/>
        </w:trPr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MAPE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31.54%</w:t>
            </w:r>
          </w:p>
        </w:tc>
        <w:tc>
          <w:tcPr>
            <w:tcW w:type="dxa" w:w="636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Error porcentual absoluto medio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MAE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9.94</w:t>
            </w:r>
          </w:p>
        </w:tc>
        <w:tc>
          <w:tcPr>
            <w:tcW w:type="dxa" w:w="636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Error absoluto medio en unidades</w:t>
            </w:r>
          </w:p>
        </w:tc>
      </w:tr>
      <w:tr>
        <w:trPr>
          <w:cantSplit/>
        </w:trPr>
        <w:tc>
          <w:tcPr>
            <w:tcW w:type="dxa" w:w="1656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RMSE</w:t>
            </w:r>
          </w:p>
        </w:tc>
        <w:tc>
          <w:tcPr>
            <w:tcW w:type="dxa" w:w="1901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13.26</w:t>
            </w:r>
          </w:p>
        </w:tc>
        <w:tc>
          <w:tcPr>
            <w:tcW w:type="dxa" w:w="6365"/>
            <w:shd w:fill="F4F7FA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Penaliza los errores de mayor magnitud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Método</w:t>
            </w:r>
          </w:p>
        </w:tc>
        <w:tc>
          <w:tcPr>
            <w:tcW w:type="dxa" w:w="1901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PMS-7</w:t>
            </w:r>
          </w:p>
        </w:tc>
        <w:tc>
          <w:tcPr>
            <w:tcW w:type="dxa" w:w="6365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6" w:space="0" w:color="B8C4CE"/>
              <w:left w:val="single" w:sz="6" w:space="0" w:color="B8C4CE"/>
              <w:bottom w:val="single" w:sz="6" w:space="0" w:color="B8C4CE"/>
              <w:right w:val="single" w:sz="6" w:space="0" w:color="B8C4CE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7"/>
              </w:rPr>
              <w:t>Un valor menor de error representa mejor ajuste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/>
          <w:b w:val="0"/>
          <w:i w:val="0"/>
          <w:color w:val="1F2933"/>
          <w:sz w:val="18"/>
        </w:rPr>
        <w:t>Alcance. Esta es una validación histórica de siete días. La ficha representa la línea base de comparación y no mide una intervención realizada en la tienda.</w:t>
      </w:r>
    </w:p>
    <w:sectPr w:rsidR="00FC693F" w:rsidRPr="0006063C" w:rsidSect="00034616">
      <w:footerReference w:type="default" r:id="rId9"/>
      <w:pgSz w:w="12240" w:h="15840"/>
      <w:pgMar w:top="936" w:right="1123" w:bottom="864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B6670"/>
        <w:sz w:val="16"/>
      </w:rPr>
      <w:t>Pretest Validación histórica PMS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Pretest Validación histórica PMS 7</dc:title>
  <dc:subject>Pretest PMS-7. Ejecución postest_20260927t170720z_20260908_7d_7793e883.</dc:subject>
  <dc:creator>Guerrero Mora, Carlos David Elian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