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Verificación del pretest y postest</w:t>
      </w:r>
    </w:p>
    <w:p>
      <w:r>
        <w:t>Minimarket Taully • Revisión técnica del 29 de septiembre de 2026</w:t>
      </w:r>
    </w:p>
    <w:p>
      <w:r>
        <w:t>Documentos revisados: Pretest_corregido.docx y Postest_corregido.docx. Destinatarios: investigador, docente de tesis y comité de ética.</w:t>
      </w:r>
    </w:p>
    <w:p>
      <w:pPr>
        <w:pStyle w:val="Heading1"/>
      </w:pPr>
      <w:r>
        <w:t>Resultado de la revisión</w:t>
      </w:r>
    </w:p>
    <w:p>
      <w:r>
        <w:t>Los valores de las fichas son reproducibles con los archivos disponibles y el postest calculado por el programa. No están sustentados todavía como resultados definitivos de una intervención real: el inventario es demostrativo, sus saldos no concilian con las ventas y no se ha confirmado la fecha de aplicación en la tienda ni el método previo usado en la práctica.</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835"/>
        <w:gridCol w:w="7030"/>
      </w:tblGrid>
      <w:tr>
        <w:trPr>
          <w:cantSplit/>
          <w:tblHeader/>
        </w:trPr>
        <w:tc>
          <w:tcPr>
            <w:tcW w:type="dxa" w:w="2835"/>
            <w:vAlign w:val="center"/>
            <w:shd w:fill="193854"/>
            <w:tcMar>
              <w:top w:w="80" w:type="dxa"/>
              <w:bottom w:w="80" w:type="dxa"/>
              <w:left w:w="80" w:type="dxa"/>
              <w:right w:w="80" w:type="dxa"/>
            </w:tcMar>
          </w:tcPr>
          <w:p>
            <w:pPr>
              <w:spacing w:after="0" w:line="240" w:lineRule="auto"/>
            </w:pPr>
            <w:r>
              <w:rPr>
                <w:b/>
                <w:color w:val="FFFFFF"/>
                <w:sz w:val="19"/>
              </w:rPr>
              <w:t>Comprobación</w:t>
            </w:r>
          </w:p>
        </w:tc>
        <w:tc>
          <w:tcPr>
            <w:tcW w:type="dxa" w:w="7030"/>
            <w:vAlign w:val="center"/>
            <w:shd w:fill="193854"/>
            <w:tcMar>
              <w:top w:w="80" w:type="dxa"/>
              <w:bottom w:w="80" w:type="dxa"/>
              <w:left w:w="80" w:type="dxa"/>
              <w:right w:w="80" w:type="dxa"/>
            </w:tcMar>
          </w:tcPr>
          <w:p>
            <w:pPr>
              <w:spacing w:after="0" w:line="240" w:lineRule="auto"/>
            </w:pPr>
            <w:r>
              <w:rPr>
                <w:b/>
                <w:color w:val="FFFFFF"/>
                <w:sz w:val="19"/>
              </w:rPr>
              <w:t>Resultado</w:t>
            </w:r>
          </w:p>
        </w:tc>
      </w:tr>
      <w:tr>
        <w:trPr>
          <w:cantSplit/>
        </w:trPr>
        <w:tc>
          <w:tcPr>
            <w:tcW w:type="dxa" w:w="2835"/>
            <w:vAlign w:val="center"/>
            <w:shd w:fill="FFFFFF"/>
            <w:tcMar>
              <w:top w:w="80" w:type="dxa"/>
              <w:bottom w:w="80" w:type="dxa"/>
              <w:left w:w="80" w:type="dxa"/>
              <w:right w:w="80" w:type="dxa"/>
            </w:tcMar>
          </w:tcPr>
          <w:p>
            <w:pPr>
              <w:spacing w:after="0" w:line="240" w:lineRule="auto"/>
            </w:pPr>
            <w:r>
              <w:rPr>
                <w:b w:val="0"/>
                <w:color w:val="000000"/>
                <w:sz w:val="19"/>
              </w:rPr>
              <w:t>Cálculos en Word, programa y Excel</w:t>
            </w:r>
          </w:p>
        </w:tc>
        <w:tc>
          <w:tcPr>
            <w:tcW w:type="dxa" w:w="7030"/>
            <w:vAlign w:val="center"/>
            <w:shd w:fill="FFFFFF"/>
            <w:tcMar>
              <w:top w:w="80" w:type="dxa"/>
              <w:bottom w:w="80" w:type="dxa"/>
              <w:left w:w="80" w:type="dxa"/>
              <w:right w:w="80" w:type="dxa"/>
            </w:tcMar>
          </w:tcPr>
          <w:p>
            <w:pPr>
              <w:spacing w:after="0" w:line="240" w:lineRule="auto"/>
            </w:pPr>
            <w:r>
              <w:rPr>
                <w:b w:val="0"/>
                <w:color w:val="000000"/>
                <w:sz w:val="19"/>
              </w:rPr>
              <w:t>715 comparaciones numéricas sin diferencias fuera del redondeo indicado.</w:t>
            </w:r>
          </w:p>
        </w:tc>
      </w:tr>
      <w:tr>
        <w:trPr>
          <w:cantSplit/>
        </w:trPr>
        <w:tc>
          <w:tcPr>
            <w:tcW w:type="dxa" w:w="2835"/>
            <w:vAlign w:val="center"/>
            <w:shd w:fill="F1F4F6"/>
            <w:tcMar>
              <w:top w:w="80" w:type="dxa"/>
              <w:bottom w:w="80" w:type="dxa"/>
              <w:left w:w="80" w:type="dxa"/>
              <w:right w:w="80" w:type="dxa"/>
            </w:tcMar>
          </w:tcPr>
          <w:p>
            <w:pPr>
              <w:spacing w:after="0" w:line="240" w:lineRule="auto"/>
            </w:pPr>
            <w:r>
              <w:rPr>
                <w:b w:val="0"/>
                <w:color w:val="000000"/>
                <w:sz w:val="19"/>
              </w:rPr>
              <w:t>Reportes frente al historial</w:t>
            </w:r>
          </w:p>
        </w:tc>
        <w:tc>
          <w:tcPr>
            <w:tcW w:type="dxa" w:w="7030"/>
            <w:vAlign w:val="center"/>
            <w:shd w:fill="F1F4F6"/>
            <w:tcMar>
              <w:top w:w="80" w:type="dxa"/>
              <w:bottom w:w="80" w:type="dxa"/>
              <w:left w:w="80" w:type="dxa"/>
              <w:right w:w="80" w:type="dxa"/>
            </w:tcMar>
          </w:tcPr>
          <w:p>
            <w:pPr>
              <w:spacing w:after="0" w:line="240" w:lineRule="auto"/>
            </w:pPr>
            <w:r>
              <w:rPr>
                <w:b w:val="0"/>
                <w:color w:val="000000"/>
                <w:sz w:val="19"/>
              </w:rPr>
              <w:t>168 reportes; 11 748 filas de venta; 43 105 unidades. Cero diferencias al consolidar por fecha y categoría con el catálogo actual.</w:t>
            </w:r>
          </w:p>
        </w:tc>
      </w:tr>
      <w:tr>
        <w:trPr>
          <w:cantSplit/>
        </w:trPr>
        <w:tc>
          <w:tcPr>
            <w:tcW w:type="dxa" w:w="2835"/>
            <w:vAlign w:val="center"/>
            <w:shd w:fill="FFFFFF"/>
            <w:tcMar>
              <w:top w:w="80" w:type="dxa"/>
              <w:bottom w:w="80" w:type="dxa"/>
              <w:left w:w="80" w:type="dxa"/>
              <w:right w:w="80" w:type="dxa"/>
            </w:tcMar>
          </w:tcPr>
          <w:p>
            <w:pPr>
              <w:spacing w:after="0" w:line="240" w:lineRule="auto"/>
            </w:pPr>
            <w:r>
              <w:rPr>
                <w:b w:val="0"/>
                <w:color w:val="000000"/>
                <w:sz w:val="19"/>
              </w:rPr>
              <w:t>Historial</w:t>
            </w:r>
          </w:p>
        </w:tc>
        <w:tc>
          <w:tcPr>
            <w:tcW w:type="dxa" w:w="7030"/>
            <w:vAlign w:val="center"/>
            <w:shd w:fill="FFFFFF"/>
            <w:tcMar>
              <w:top w:w="80" w:type="dxa"/>
              <w:bottom w:w="80" w:type="dxa"/>
              <w:left w:w="80" w:type="dxa"/>
              <w:right w:w="80" w:type="dxa"/>
            </w:tcMar>
          </w:tcPr>
          <w:p>
            <w:pPr>
              <w:spacing w:after="0" w:line="240" w:lineRule="auto"/>
            </w:pPr>
            <w:r>
              <w:rPr>
                <w:b w:val="0"/>
                <w:color w:val="000000"/>
                <w:sz w:val="19"/>
              </w:rPr>
              <w:t>840 registros categoría-día; cinco categorías; del 01/04 al 15/09/2026. Sin claves fecha-categoría duplicadas.</w:t>
            </w:r>
          </w:p>
        </w:tc>
      </w:tr>
      <w:tr>
        <w:trPr>
          <w:cantSplit/>
        </w:trPr>
        <w:tc>
          <w:tcPr>
            <w:tcW w:type="dxa" w:w="2835"/>
            <w:vAlign w:val="center"/>
            <w:shd w:fill="F1F4F6"/>
            <w:tcMar>
              <w:top w:w="80" w:type="dxa"/>
              <w:bottom w:w="80" w:type="dxa"/>
              <w:left w:w="80" w:type="dxa"/>
              <w:right w:w="80" w:type="dxa"/>
            </w:tcMar>
          </w:tcPr>
          <w:p>
            <w:pPr>
              <w:spacing w:after="0" w:line="240" w:lineRule="auto"/>
            </w:pPr>
            <w:r>
              <w:rPr>
                <w:b w:val="0"/>
                <w:color w:val="000000"/>
                <w:sz w:val="19"/>
              </w:rPr>
              <w:t>Repetición del postest</w:t>
            </w:r>
          </w:p>
        </w:tc>
        <w:tc>
          <w:tcPr>
            <w:tcW w:type="dxa" w:w="7030"/>
            <w:vAlign w:val="center"/>
            <w:shd w:fill="F1F4F6"/>
            <w:tcMar>
              <w:top w:w="80" w:type="dxa"/>
              <w:bottom w:w="80" w:type="dxa"/>
              <w:left w:w="80" w:type="dxa"/>
              <w:right w:w="80" w:type="dxa"/>
            </w:tcMar>
          </w:tcPr>
          <w:p>
            <w:pPr>
              <w:spacing w:after="0" w:line="240" w:lineRule="auto"/>
            </w:pPr>
            <w:r>
              <w:rPr>
                <w:b w:val="0"/>
                <w:color w:val="000000"/>
                <w:sz w:val="19"/>
              </w:rPr>
              <w:t>La ejecución del 29/09/2026 reprodujo las 35 predicciones del resultado guardado del 27/09. Diferencia máxima: 0,00 unidades.</w:t>
            </w:r>
          </w:p>
        </w:tc>
      </w:tr>
      <w:tr>
        <w:trPr>
          <w:cantSplit/>
        </w:trPr>
        <w:tc>
          <w:tcPr>
            <w:tcW w:type="dxa" w:w="2835"/>
            <w:vAlign w:val="center"/>
            <w:shd w:fill="FFFFFF"/>
            <w:tcMar>
              <w:top w:w="80" w:type="dxa"/>
              <w:bottom w:w="80" w:type="dxa"/>
              <w:left w:w="80" w:type="dxa"/>
              <w:right w:w="80" w:type="dxa"/>
            </w:tcMar>
          </w:tcPr>
          <w:p>
            <w:pPr>
              <w:spacing w:after="0" w:line="240" w:lineRule="auto"/>
            </w:pPr>
            <w:r>
              <w:rPr>
                <w:b w:val="0"/>
                <w:color w:val="000000"/>
                <w:sz w:val="19"/>
              </w:rPr>
              <w:t>Alcance de la conformidad</w:t>
            </w:r>
          </w:p>
        </w:tc>
        <w:tc>
          <w:tcPr>
            <w:tcW w:type="dxa" w:w="7030"/>
            <w:vAlign w:val="center"/>
            <w:shd w:fill="FFFFFF"/>
            <w:tcMar>
              <w:top w:w="80" w:type="dxa"/>
              <w:bottom w:w="80" w:type="dxa"/>
              <w:left w:w="80" w:type="dxa"/>
              <w:right w:w="80" w:type="dxa"/>
            </w:tcMar>
          </w:tcPr>
          <w:p>
            <w:pPr>
              <w:spacing w:after="0" w:line="240" w:lineRule="auto"/>
            </w:pPr>
            <w:r>
              <w:rPr>
                <w:b w:val="0"/>
                <w:color w:val="000000"/>
                <w:sz w:val="19"/>
              </w:rPr>
              <w:t>Conformidad aritmética y reproducción técnica. La autenticidad empresarial, la validez del diseño y la aprobación ética requieren sustento adicional.</w:t>
            </w:r>
          </w:p>
        </w:tc>
      </w:tr>
    </w:tbl>
    <w:p/>
    <w:p>
      <w:r>
        <w:t>La coincidencia entre archivos comprueba consistencia, no acredita por sí sola que sean registros originales del negocio. Las filas de venta no equivalen al número de tickets o transacciones.</w:t>
      </w:r>
    </w:p>
    <w:p>
      <w:r>
        <w:t>Esta revisión conserva las fórmulas de los instrumentos y no cambia los datos ni el código del programa. No constituye aprobación del docente, juicio de expertos ni dictamen del comité.</w:t>
      </w:r>
    </w:p>
    <w:p>
      <w:r>
        <w:br w:type="page"/>
      </w:r>
    </w:p>
    <w:p>
      <w:pPr>
        <w:pStyle w:val="Heading1"/>
      </w:pPr>
      <w:r>
        <w:t>Pronóstico y comparación de períodos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98"/>
        <w:gridCol w:w="1417"/>
        <w:gridCol w:w="1134"/>
        <w:gridCol w:w="1134"/>
        <w:gridCol w:w="1701"/>
        <w:gridCol w:w="1247"/>
      </w:tblGrid>
      <w:tr>
        <w:trPr>
          <w:cantSplit/>
          <w:tblHeader/>
        </w:trPr>
        <w:tc>
          <w:tcPr>
            <w:tcW w:type="dxa" w:w="2098"/>
            <w:vAlign w:val="center"/>
            <w:shd w:fill="193854"/>
            <w:tcMar>
              <w:top w:w="80" w:type="dxa"/>
              <w:bottom w:w="80" w:type="dxa"/>
              <w:left w:w="80" w:type="dxa"/>
              <w:right w:w="80" w:type="dxa"/>
            </w:tcMar>
          </w:tcPr>
          <w:p>
            <w:pPr>
              <w:spacing w:after="0" w:line="240" w:lineRule="auto"/>
            </w:pPr>
            <w:r>
              <w:rPr>
                <w:b/>
                <w:color w:val="FFFFFF"/>
                <w:sz w:val="19"/>
              </w:rPr>
              <w:t>Evaluación</w:t>
            </w:r>
          </w:p>
        </w:tc>
        <w:tc>
          <w:tcPr>
            <w:tcW w:type="dxa" w:w="1417"/>
            <w:vAlign w:val="center"/>
            <w:shd w:fill="193854"/>
            <w:tcMar>
              <w:top w:w="80" w:type="dxa"/>
              <w:bottom w:w="80" w:type="dxa"/>
              <w:left w:w="80" w:type="dxa"/>
              <w:right w:w="80" w:type="dxa"/>
            </w:tcMar>
          </w:tcPr>
          <w:p>
            <w:pPr>
              <w:spacing w:after="0" w:line="240" w:lineRule="auto"/>
            </w:pPr>
            <w:r>
              <w:rPr>
                <w:b/>
                <w:color w:val="FFFFFF"/>
                <w:sz w:val="19"/>
              </w:rPr>
              <w:t>Fechas</w:t>
            </w:r>
          </w:p>
        </w:tc>
        <w:tc>
          <w:tcPr>
            <w:tcW w:type="dxa" w:w="1134"/>
            <w:vAlign w:val="center"/>
            <w:shd w:fill="193854"/>
            <w:tcMar>
              <w:top w:w="80" w:type="dxa"/>
              <w:bottom w:w="80" w:type="dxa"/>
              <w:left w:w="80" w:type="dxa"/>
              <w:right w:w="80" w:type="dxa"/>
            </w:tcMar>
          </w:tcPr>
          <w:p>
            <w:pPr>
              <w:spacing w:after="0" w:line="240" w:lineRule="auto"/>
            </w:pPr>
            <w:r>
              <w:rPr>
                <w:b/>
                <w:color w:val="FFFFFF"/>
                <w:sz w:val="19"/>
              </w:rPr>
              <w:t>Corte</w:t>
            </w:r>
          </w:p>
        </w:tc>
        <w:tc>
          <w:tcPr>
            <w:tcW w:type="dxa" w:w="1134"/>
            <w:vAlign w:val="center"/>
            <w:shd w:fill="193854"/>
            <w:tcMar>
              <w:top w:w="80" w:type="dxa"/>
              <w:bottom w:w="80" w:type="dxa"/>
              <w:left w:w="80" w:type="dxa"/>
              <w:right w:w="80" w:type="dxa"/>
            </w:tcMar>
          </w:tcPr>
          <w:p>
            <w:pPr>
              <w:spacing w:after="0" w:line="240" w:lineRule="auto"/>
            </w:pPr>
            <w:r>
              <w:rPr>
                <w:b/>
                <w:color w:val="FFFFFF"/>
                <w:sz w:val="19"/>
              </w:rPr>
              <w:t>Ventas</w:t>
            </w:r>
          </w:p>
        </w:tc>
        <w:tc>
          <w:tcPr>
            <w:tcW w:type="dxa" w:w="1701"/>
            <w:vAlign w:val="center"/>
            <w:shd w:fill="193854"/>
            <w:tcMar>
              <w:top w:w="80" w:type="dxa"/>
              <w:bottom w:w="80" w:type="dxa"/>
              <w:left w:w="80" w:type="dxa"/>
              <w:right w:w="80" w:type="dxa"/>
            </w:tcMar>
          </w:tcPr>
          <w:p>
            <w:pPr>
              <w:spacing w:after="0" w:line="240" w:lineRule="auto"/>
            </w:pPr>
            <w:r>
              <w:rPr>
                <w:b/>
                <w:color w:val="FFFFFF"/>
                <w:sz w:val="19"/>
              </w:rPr>
              <w:t>Pronóstico</w:t>
            </w:r>
          </w:p>
        </w:tc>
        <w:tc>
          <w:tcPr>
            <w:tcW w:type="dxa" w:w="1247"/>
            <w:vAlign w:val="center"/>
            <w:shd w:fill="193854"/>
            <w:tcMar>
              <w:top w:w="80" w:type="dxa"/>
              <w:bottom w:w="80" w:type="dxa"/>
              <w:left w:w="80" w:type="dxa"/>
              <w:right w:w="80" w:type="dxa"/>
            </w:tcMar>
          </w:tcPr>
          <w:p>
            <w:pPr>
              <w:spacing w:after="0" w:line="240" w:lineRule="auto"/>
            </w:pPr>
            <w:r>
              <w:rPr>
                <w:b/>
                <w:color w:val="FFFFFF"/>
                <w:sz w:val="19"/>
              </w:rPr>
              <w:t>MAPE</w:t>
            </w:r>
          </w:p>
        </w:tc>
      </w:tr>
      <w:tr>
        <w:trPr>
          <w:cantSplit/>
        </w:trPr>
        <w:tc>
          <w:tcPr>
            <w:tcW w:type="dxa" w:w="2098"/>
            <w:vAlign w:val="center"/>
            <w:shd w:fill="FFFFFF"/>
            <w:tcMar>
              <w:top w:w="80" w:type="dxa"/>
              <w:bottom w:w="80" w:type="dxa"/>
              <w:left w:w="80" w:type="dxa"/>
              <w:right w:w="80" w:type="dxa"/>
            </w:tcMar>
          </w:tcPr>
          <w:p>
            <w:pPr>
              <w:spacing w:after="0" w:line="240" w:lineRule="auto"/>
            </w:pPr>
            <w:r>
              <w:rPr>
                <w:b w:val="0"/>
                <w:color w:val="000000"/>
                <w:sz w:val="19"/>
              </w:rPr>
              <w:t>Pretest PMS-7</w:t>
            </w:r>
          </w:p>
        </w:tc>
        <w:tc>
          <w:tcPr>
            <w:tcW w:type="dxa" w:w="1417"/>
            <w:vAlign w:val="center"/>
            <w:shd w:fill="FFFFFF"/>
            <w:tcMar>
              <w:top w:w="80" w:type="dxa"/>
              <w:bottom w:w="80" w:type="dxa"/>
              <w:left w:w="80" w:type="dxa"/>
              <w:right w:w="80" w:type="dxa"/>
            </w:tcMar>
          </w:tcPr>
          <w:p>
            <w:pPr>
              <w:spacing w:after="0" w:line="240" w:lineRule="auto"/>
            </w:pPr>
            <w:r>
              <w:rPr>
                <w:b w:val="0"/>
                <w:color w:val="000000"/>
                <w:sz w:val="19"/>
              </w:rPr>
              <w:t>02–08/09</w:t>
            </w:r>
          </w:p>
        </w:tc>
        <w:tc>
          <w:tcPr>
            <w:tcW w:type="dxa" w:w="1134"/>
            <w:vAlign w:val="center"/>
            <w:shd w:fill="FFFFFF"/>
            <w:tcMar>
              <w:top w:w="80" w:type="dxa"/>
              <w:bottom w:w="80" w:type="dxa"/>
              <w:left w:w="80" w:type="dxa"/>
              <w:right w:w="80" w:type="dxa"/>
            </w:tcMar>
          </w:tcPr>
          <w:p>
            <w:pPr>
              <w:spacing w:after="0" w:line="240" w:lineRule="auto"/>
            </w:pPr>
            <w:r>
              <w:rPr>
                <w:b w:val="0"/>
                <w:color w:val="000000"/>
                <w:sz w:val="19"/>
              </w:rPr>
              <w:t>01/09</w:t>
            </w:r>
          </w:p>
        </w:tc>
        <w:tc>
          <w:tcPr>
            <w:tcW w:type="dxa" w:w="1134"/>
            <w:vAlign w:val="center"/>
            <w:shd w:fill="FFFFFF"/>
            <w:tcMar>
              <w:top w:w="80" w:type="dxa"/>
              <w:bottom w:w="80" w:type="dxa"/>
              <w:left w:w="80" w:type="dxa"/>
              <w:right w:w="80" w:type="dxa"/>
            </w:tcMar>
          </w:tcPr>
          <w:p>
            <w:pPr>
              <w:spacing w:after="0" w:line="240" w:lineRule="auto"/>
            </w:pPr>
            <w:r>
              <w:rPr>
                <w:b w:val="0"/>
                <w:color w:val="000000"/>
                <w:sz w:val="19"/>
              </w:rPr>
              <w:t>1784</w:t>
            </w:r>
          </w:p>
        </w:tc>
        <w:tc>
          <w:tcPr>
            <w:tcW w:type="dxa" w:w="1701"/>
            <w:vAlign w:val="center"/>
            <w:shd w:fill="FFFFFF"/>
            <w:tcMar>
              <w:top w:w="80" w:type="dxa"/>
              <w:bottom w:w="80" w:type="dxa"/>
              <w:left w:w="80" w:type="dxa"/>
              <w:right w:w="80" w:type="dxa"/>
            </w:tcMar>
          </w:tcPr>
          <w:p>
            <w:pPr>
              <w:spacing w:after="0" w:line="240" w:lineRule="auto"/>
            </w:pPr>
            <w:r>
              <w:rPr>
                <w:b w:val="0"/>
                <w:color w:val="000000"/>
                <w:sz w:val="19"/>
              </w:rPr>
              <w:t>2016,97</w:t>
            </w:r>
          </w:p>
        </w:tc>
        <w:tc>
          <w:tcPr>
            <w:tcW w:type="dxa" w:w="1247"/>
            <w:vAlign w:val="center"/>
            <w:shd w:fill="FFFFFF"/>
            <w:tcMar>
              <w:top w:w="80" w:type="dxa"/>
              <w:bottom w:w="80" w:type="dxa"/>
              <w:left w:w="80" w:type="dxa"/>
              <w:right w:w="80" w:type="dxa"/>
            </w:tcMar>
          </w:tcPr>
          <w:p>
            <w:pPr>
              <w:spacing w:after="0" w:line="240" w:lineRule="auto"/>
            </w:pPr>
            <w:r>
              <w:rPr>
                <w:b w:val="0"/>
                <w:color w:val="000000"/>
                <w:sz w:val="19"/>
              </w:rPr>
              <w:t>27,69 %</w:t>
            </w:r>
          </w:p>
        </w:tc>
      </w:tr>
      <w:tr>
        <w:trPr>
          <w:cantSplit/>
        </w:trPr>
        <w:tc>
          <w:tcPr>
            <w:tcW w:type="dxa" w:w="2098"/>
            <w:vAlign w:val="center"/>
            <w:shd w:fill="F1F4F6"/>
            <w:tcMar>
              <w:top w:w="80" w:type="dxa"/>
              <w:bottom w:w="80" w:type="dxa"/>
              <w:left w:w="80" w:type="dxa"/>
              <w:right w:w="80" w:type="dxa"/>
            </w:tcMar>
          </w:tcPr>
          <w:p>
            <w:pPr>
              <w:spacing w:after="0" w:line="240" w:lineRule="auto"/>
            </w:pPr>
            <w:r>
              <w:rPr>
                <w:b w:val="0"/>
                <w:color w:val="000000"/>
                <w:sz w:val="19"/>
              </w:rPr>
              <w:t>Postest modelo</w:t>
            </w:r>
          </w:p>
        </w:tc>
        <w:tc>
          <w:tcPr>
            <w:tcW w:type="dxa" w:w="1417"/>
            <w:vAlign w:val="center"/>
            <w:shd w:fill="F1F4F6"/>
            <w:tcMar>
              <w:top w:w="80" w:type="dxa"/>
              <w:bottom w:w="80" w:type="dxa"/>
              <w:left w:w="80" w:type="dxa"/>
              <w:right w:w="80" w:type="dxa"/>
            </w:tcMar>
          </w:tcPr>
          <w:p>
            <w:pPr>
              <w:spacing w:after="0" w:line="240" w:lineRule="auto"/>
            </w:pPr>
            <w:r>
              <w:rPr>
                <w:b w:val="0"/>
                <w:color w:val="000000"/>
                <w:sz w:val="19"/>
              </w:rPr>
              <w:t>09–15/09</w:t>
            </w:r>
          </w:p>
        </w:tc>
        <w:tc>
          <w:tcPr>
            <w:tcW w:type="dxa" w:w="1134"/>
            <w:vAlign w:val="center"/>
            <w:shd w:fill="F1F4F6"/>
            <w:tcMar>
              <w:top w:w="80" w:type="dxa"/>
              <w:bottom w:w="80" w:type="dxa"/>
              <w:left w:w="80" w:type="dxa"/>
              <w:right w:w="80" w:type="dxa"/>
            </w:tcMar>
          </w:tcPr>
          <w:p>
            <w:pPr>
              <w:spacing w:after="0" w:line="240" w:lineRule="auto"/>
            </w:pPr>
            <w:r>
              <w:rPr>
                <w:b w:val="0"/>
                <w:color w:val="000000"/>
                <w:sz w:val="19"/>
              </w:rPr>
              <w:t>08/09</w:t>
            </w:r>
          </w:p>
        </w:tc>
        <w:tc>
          <w:tcPr>
            <w:tcW w:type="dxa" w:w="1134"/>
            <w:vAlign w:val="center"/>
            <w:shd w:fill="F1F4F6"/>
            <w:tcMar>
              <w:top w:w="80" w:type="dxa"/>
              <w:bottom w:w="80" w:type="dxa"/>
              <w:left w:w="80" w:type="dxa"/>
              <w:right w:w="80" w:type="dxa"/>
            </w:tcMar>
          </w:tcPr>
          <w:p>
            <w:pPr>
              <w:spacing w:after="0" w:line="240" w:lineRule="auto"/>
            </w:pPr>
            <w:r>
              <w:rPr>
                <w:b w:val="0"/>
                <w:color w:val="000000"/>
                <w:sz w:val="19"/>
              </w:rPr>
              <w:t>1671</w:t>
            </w:r>
          </w:p>
        </w:tc>
        <w:tc>
          <w:tcPr>
            <w:tcW w:type="dxa" w:w="1701"/>
            <w:vAlign w:val="center"/>
            <w:shd w:fill="F1F4F6"/>
            <w:tcMar>
              <w:top w:w="80" w:type="dxa"/>
              <w:bottom w:w="80" w:type="dxa"/>
              <w:left w:w="80" w:type="dxa"/>
              <w:right w:w="80" w:type="dxa"/>
            </w:tcMar>
          </w:tcPr>
          <w:p>
            <w:pPr>
              <w:spacing w:after="0" w:line="240" w:lineRule="auto"/>
            </w:pPr>
            <w:r>
              <w:rPr>
                <w:b w:val="0"/>
                <w:color w:val="000000"/>
                <w:sz w:val="19"/>
              </w:rPr>
              <w:t>1931,38</w:t>
            </w:r>
          </w:p>
        </w:tc>
        <w:tc>
          <w:tcPr>
            <w:tcW w:type="dxa" w:w="1247"/>
            <w:vAlign w:val="center"/>
            <w:shd w:fill="F1F4F6"/>
            <w:tcMar>
              <w:top w:w="80" w:type="dxa"/>
              <w:bottom w:w="80" w:type="dxa"/>
              <w:left w:w="80" w:type="dxa"/>
              <w:right w:w="80" w:type="dxa"/>
            </w:tcMar>
          </w:tcPr>
          <w:p>
            <w:pPr>
              <w:spacing w:after="0" w:line="240" w:lineRule="auto"/>
            </w:pPr>
            <w:r>
              <w:rPr>
                <w:b w:val="0"/>
                <w:color w:val="000000"/>
                <w:sz w:val="19"/>
              </w:rPr>
              <w:t>33,89 %</w:t>
            </w:r>
          </w:p>
        </w:tc>
      </w:tr>
      <w:tr>
        <w:trPr>
          <w:cantSplit/>
        </w:trPr>
        <w:tc>
          <w:tcPr>
            <w:tcW w:type="dxa" w:w="2098"/>
            <w:vAlign w:val="center"/>
            <w:shd w:fill="FFFFFF"/>
            <w:tcMar>
              <w:top w:w="80" w:type="dxa"/>
              <w:bottom w:w="80" w:type="dxa"/>
              <w:left w:w="80" w:type="dxa"/>
              <w:right w:w="80" w:type="dxa"/>
            </w:tcMar>
          </w:tcPr>
          <w:p>
            <w:pPr>
              <w:spacing w:after="0" w:line="240" w:lineRule="auto"/>
            </w:pPr>
            <w:r>
              <w:rPr>
                <w:b w:val="0"/>
                <w:color w:val="000000"/>
                <w:sz w:val="19"/>
              </w:rPr>
              <w:t>PMS-7 de comparación</w:t>
            </w:r>
          </w:p>
        </w:tc>
        <w:tc>
          <w:tcPr>
            <w:tcW w:type="dxa" w:w="1417"/>
            <w:vAlign w:val="center"/>
            <w:shd w:fill="FFFFFF"/>
            <w:tcMar>
              <w:top w:w="80" w:type="dxa"/>
              <w:bottom w:w="80" w:type="dxa"/>
              <w:left w:w="80" w:type="dxa"/>
              <w:right w:w="80" w:type="dxa"/>
            </w:tcMar>
          </w:tcPr>
          <w:p>
            <w:pPr>
              <w:spacing w:after="0" w:line="240" w:lineRule="auto"/>
            </w:pPr>
            <w:r>
              <w:rPr>
                <w:b w:val="0"/>
                <w:color w:val="000000"/>
                <w:sz w:val="19"/>
              </w:rPr>
              <w:t>09–15/09</w:t>
            </w:r>
          </w:p>
        </w:tc>
        <w:tc>
          <w:tcPr>
            <w:tcW w:type="dxa" w:w="1134"/>
            <w:vAlign w:val="center"/>
            <w:shd w:fill="FFFFFF"/>
            <w:tcMar>
              <w:top w:w="80" w:type="dxa"/>
              <w:bottom w:w="80" w:type="dxa"/>
              <w:left w:w="80" w:type="dxa"/>
              <w:right w:w="80" w:type="dxa"/>
            </w:tcMar>
          </w:tcPr>
          <w:p>
            <w:pPr>
              <w:spacing w:after="0" w:line="240" w:lineRule="auto"/>
            </w:pPr>
            <w:r>
              <w:rPr>
                <w:b w:val="0"/>
                <w:color w:val="000000"/>
                <w:sz w:val="19"/>
              </w:rPr>
              <w:t>08/09</w:t>
            </w:r>
          </w:p>
        </w:tc>
        <w:tc>
          <w:tcPr>
            <w:tcW w:type="dxa" w:w="1134"/>
            <w:vAlign w:val="center"/>
            <w:shd w:fill="FFFFFF"/>
            <w:tcMar>
              <w:top w:w="80" w:type="dxa"/>
              <w:bottom w:w="80" w:type="dxa"/>
              <w:left w:w="80" w:type="dxa"/>
              <w:right w:w="80" w:type="dxa"/>
            </w:tcMar>
          </w:tcPr>
          <w:p>
            <w:pPr>
              <w:spacing w:after="0" w:line="240" w:lineRule="auto"/>
            </w:pPr>
            <w:r>
              <w:rPr>
                <w:b w:val="0"/>
                <w:color w:val="000000"/>
                <w:sz w:val="19"/>
              </w:rPr>
              <w:t>1671</w:t>
            </w:r>
          </w:p>
        </w:tc>
        <w:tc>
          <w:tcPr>
            <w:tcW w:type="dxa" w:w="1701"/>
            <w:vAlign w:val="center"/>
            <w:shd w:fill="FFFFFF"/>
            <w:tcMar>
              <w:top w:w="80" w:type="dxa"/>
              <w:bottom w:w="80" w:type="dxa"/>
              <w:left w:w="80" w:type="dxa"/>
              <w:right w:w="80" w:type="dxa"/>
            </w:tcMar>
          </w:tcPr>
          <w:p>
            <w:pPr>
              <w:spacing w:after="0" w:line="240" w:lineRule="auto"/>
            </w:pPr>
            <w:r>
              <w:rPr>
                <w:b w:val="0"/>
                <w:color w:val="000000"/>
                <w:sz w:val="19"/>
              </w:rPr>
              <w:t>1801,98</w:t>
            </w:r>
          </w:p>
        </w:tc>
        <w:tc>
          <w:tcPr>
            <w:tcW w:type="dxa" w:w="1247"/>
            <w:vAlign w:val="center"/>
            <w:shd w:fill="FFFFFF"/>
            <w:tcMar>
              <w:top w:w="80" w:type="dxa"/>
              <w:bottom w:w="80" w:type="dxa"/>
              <w:left w:w="80" w:type="dxa"/>
              <w:right w:w="80" w:type="dxa"/>
            </w:tcMar>
          </w:tcPr>
          <w:p>
            <w:pPr>
              <w:spacing w:after="0" w:line="240" w:lineRule="auto"/>
            </w:pPr>
            <w:r>
              <w:rPr>
                <w:b w:val="0"/>
                <w:color w:val="000000"/>
                <w:sz w:val="19"/>
              </w:rPr>
              <w:t>31,54 %</w:t>
            </w:r>
          </w:p>
        </w:tc>
      </w:tr>
    </w:tbl>
    <w:p/>
    <w:p>
      <w:r>
        <w:t>Todas las fechas corresponden a 2026. El PMS-7 mostrado junto al modelo en el programa se calcula para la misma semana del postest. No es el pretest de la semana anterior.</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41"/>
        <w:gridCol w:w="964"/>
        <w:gridCol w:w="1304"/>
        <w:gridCol w:w="1474"/>
        <w:gridCol w:w="964"/>
        <w:gridCol w:w="1474"/>
        <w:gridCol w:w="1644"/>
      </w:tblGrid>
      <w:tr>
        <w:trPr>
          <w:cantSplit/>
          <w:tblHeader/>
        </w:trPr>
        <w:tc>
          <w:tcPr>
            <w:tcW w:type="dxa" w:w="2041"/>
            <w:vAlign w:val="center"/>
            <w:shd w:fill="193854"/>
            <w:tcMar>
              <w:top w:w="80" w:type="dxa"/>
              <w:bottom w:w="80" w:type="dxa"/>
              <w:left w:w="80" w:type="dxa"/>
              <w:right w:w="80" w:type="dxa"/>
            </w:tcMar>
          </w:tcPr>
          <w:p>
            <w:pPr>
              <w:spacing w:after="0" w:line="240" w:lineRule="auto"/>
            </w:pPr>
            <w:r>
              <w:rPr>
                <w:b/>
                <w:color w:val="FFFFFF"/>
                <w:sz w:val="19"/>
              </w:rPr>
              <w:t>Categoría</w:t>
            </w:r>
          </w:p>
        </w:tc>
        <w:tc>
          <w:tcPr>
            <w:tcW w:type="dxa" w:w="964"/>
            <w:vAlign w:val="center"/>
            <w:shd w:fill="193854"/>
            <w:tcMar>
              <w:top w:w="80" w:type="dxa"/>
              <w:bottom w:w="80" w:type="dxa"/>
              <w:left w:w="80" w:type="dxa"/>
              <w:right w:w="80" w:type="dxa"/>
            </w:tcMar>
          </w:tcPr>
          <w:p>
            <w:pPr>
              <w:spacing w:after="0" w:line="240" w:lineRule="auto"/>
            </w:pPr>
            <w:r>
              <w:rPr>
                <w:b/>
                <w:color w:val="FFFFFF"/>
                <w:sz w:val="19"/>
              </w:rPr>
              <w:t>DR pre</w:t>
            </w:r>
          </w:p>
        </w:tc>
        <w:tc>
          <w:tcPr>
            <w:tcW w:type="dxa" w:w="1304"/>
            <w:vAlign w:val="center"/>
            <w:shd w:fill="193854"/>
            <w:tcMar>
              <w:top w:w="80" w:type="dxa"/>
              <w:bottom w:w="80" w:type="dxa"/>
              <w:left w:w="80" w:type="dxa"/>
              <w:right w:w="80" w:type="dxa"/>
            </w:tcMar>
          </w:tcPr>
          <w:p>
            <w:pPr>
              <w:spacing w:after="0" w:line="240" w:lineRule="auto"/>
            </w:pPr>
            <w:r>
              <w:rPr>
                <w:b/>
                <w:color w:val="FFFFFF"/>
                <w:sz w:val="19"/>
              </w:rPr>
              <w:t>DP pre</w:t>
            </w:r>
          </w:p>
        </w:tc>
        <w:tc>
          <w:tcPr>
            <w:tcW w:type="dxa" w:w="1474"/>
            <w:vAlign w:val="center"/>
            <w:shd w:fill="193854"/>
            <w:tcMar>
              <w:top w:w="80" w:type="dxa"/>
              <w:bottom w:w="80" w:type="dxa"/>
              <w:left w:w="80" w:type="dxa"/>
              <w:right w:w="80" w:type="dxa"/>
            </w:tcMar>
          </w:tcPr>
          <w:p>
            <w:pPr>
              <w:spacing w:after="0" w:line="240" w:lineRule="auto"/>
            </w:pPr>
            <w:r>
              <w:rPr>
                <w:b/>
                <w:color w:val="FFFFFF"/>
                <w:sz w:val="19"/>
              </w:rPr>
              <w:t>MAPE pre</w:t>
            </w:r>
          </w:p>
        </w:tc>
        <w:tc>
          <w:tcPr>
            <w:tcW w:type="dxa" w:w="964"/>
            <w:vAlign w:val="center"/>
            <w:shd w:fill="193854"/>
            <w:tcMar>
              <w:top w:w="80" w:type="dxa"/>
              <w:bottom w:w="80" w:type="dxa"/>
              <w:left w:w="80" w:type="dxa"/>
              <w:right w:w="80" w:type="dxa"/>
            </w:tcMar>
          </w:tcPr>
          <w:p>
            <w:pPr>
              <w:spacing w:after="0" w:line="240" w:lineRule="auto"/>
            </w:pPr>
            <w:r>
              <w:rPr>
                <w:b/>
                <w:color w:val="FFFFFF"/>
                <w:sz w:val="19"/>
              </w:rPr>
              <w:t>DR post</w:t>
            </w:r>
          </w:p>
        </w:tc>
        <w:tc>
          <w:tcPr>
            <w:tcW w:type="dxa" w:w="1474"/>
            <w:vAlign w:val="center"/>
            <w:shd w:fill="193854"/>
            <w:tcMar>
              <w:top w:w="80" w:type="dxa"/>
              <w:bottom w:w="80" w:type="dxa"/>
              <w:left w:w="80" w:type="dxa"/>
              <w:right w:w="80" w:type="dxa"/>
            </w:tcMar>
          </w:tcPr>
          <w:p>
            <w:pPr>
              <w:spacing w:after="0" w:line="240" w:lineRule="auto"/>
            </w:pPr>
            <w:r>
              <w:rPr>
                <w:b/>
                <w:color w:val="FFFFFF"/>
                <w:sz w:val="19"/>
              </w:rPr>
              <w:t>DP post</w:t>
            </w:r>
          </w:p>
        </w:tc>
        <w:tc>
          <w:tcPr>
            <w:tcW w:type="dxa" w:w="1644"/>
            <w:vAlign w:val="center"/>
            <w:shd w:fill="193854"/>
            <w:tcMar>
              <w:top w:w="80" w:type="dxa"/>
              <w:bottom w:w="80" w:type="dxa"/>
              <w:left w:w="80" w:type="dxa"/>
              <w:right w:w="80" w:type="dxa"/>
            </w:tcMar>
          </w:tcPr>
          <w:p>
            <w:pPr>
              <w:spacing w:after="0" w:line="240" w:lineRule="auto"/>
            </w:pPr>
            <w:r>
              <w:rPr>
                <w:b/>
                <w:color w:val="FFFFFF"/>
                <w:sz w:val="19"/>
              </w:rPr>
              <w:t>MAPE post</w:t>
            </w:r>
          </w:p>
        </w:tc>
      </w:tr>
      <w:tr>
        <w:trPr>
          <w:cantSplit/>
        </w:trPr>
        <w:tc>
          <w:tcPr>
            <w:tcW w:type="dxa" w:w="2041"/>
            <w:vAlign w:val="center"/>
            <w:shd w:fill="FFFFFF"/>
            <w:tcMar>
              <w:top w:w="80" w:type="dxa"/>
              <w:bottom w:w="80" w:type="dxa"/>
              <w:left w:w="80" w:type="dxa"/>
              <w:right w:w="80" w:type="dxa"/>
            </w:tcMar>
          </w:tcPr>
          <w:p>
            <w:pPr>
              <w:spacing w:after="0" w:line="240" w:lineRule="auto"/>
            </w:pPr>
            <w:r>
              <w:rPr>
                <w:b w:val="0"/>
                <w:color w:val="000000"/>
                <w:sz w:val="19"/>
              </w:rPr>
              <w:t>ABARROTES</w:t>
            </w:r>
          </w:p>
        </w:tc>
        <w:tc>
          <w:tcPr>
            <w:tcW w:type="dxa" w:w="964"/>
            <w:vAlign w:val="center"/>
            <w:shd w:fill="FFFFFF"/>
            <w:tcMar>
              <w:top w:w="80" w:type="dxa"/>
              <w:bottom w:w="80" w:type="dxa"/>
              <w:left w:w="80" w:type="dxa"/>
              <w:right w:w="80" w:type="dxa"/>
            </w:tcMar>
          </w:tcPr>
          <w:p>
            <w:pPr>
              <w:spacing w:after="0" w:line="240" w:lineRule="auto"/>
            </w:pPr>
            <w:r>
              <w:rPr>
                <w:b w:val="0"/>
                <w:color w:val="000000"/>
                <w:sz w:val="19"/>
              </w:rPr>
              <w:t>379</w:t>
            </w:r>
          </w:p>
        </w:tc>
        <w:tc>
          <w:tcPr>
            <w:tcW w:type="dxa" w:w="1304"/>
            <w:vAlign w:val="center"/>
            <w:shd w:fill="FFFFFF"/>
            <w:tcMar>
              <w:top w:w="80" w:type="dxa"/>
              <w:bottom w:w="80" w:type="dxa"/>
              <w:left w:w="80" w:type="dxa"/>
              <w:right w:w="80" w:type="dxa"/>
            </w:tcMar>
          </w:tcPr>
          <w:p>
            <w:pPr>
              <w:spacing w:after="0" w:line="240" w:lineRule="auto"/>
            </w:pPr>
            <w:r>
              <w:rPr>
                <w:b w:val="0"/>
                <w:color w:val="000000"/>
                <w:sz w:val="19"/>
              </w:rPr>
              <w:t>452,05</w:t>
            </w:r>
          </w:p>
        </w:tc>
        <w:tc>
          <w:tcPr>
            <w:tcW w:type="dxa" w:w="1474"/>
            <w:vAlign w:val="center"/>
            <w:shd w:fill="FFFFFF"/>
            <w:tcMar>
              <w:top w:w="80" w:type="dxa"/>
              <w:bottom w:w="80" w:type="dxa"/>
              <w:left w:w="80" w:type="dxa"/>
              <w:right w:w="80" w:type="dxa"/>
            </w:tcMar>
          </w:tcPr>
          <w:p>
            <w:pPr>
              <w:spacing w:after="0" w:line="240" w:lineRule="auto"/>
            </w:pPr>
            <w:r>
              <w:rPr>
                <w:b w:val="0"/>
                <w:color w:val="000000"/>
                <w:sz w:val="19"/>
              </w:rPr>
              <w:t>30,06 %</w:t>
            </w:r>
          </w:p>
        </w:tc>
        <w:tc>
          <w:tcPr>
            <w:tcW w:type="dxa" w:w="964"/>
            <w:vAlign w:val="center"/>
            <w:shd w:fill="FFFFFF"/>
            <w:tcMar>
              <w:top w:w="80" w:type="dxa"/>
              <w:bottom w:w="80" w:type="dxa"/>
              <w:left w:w="80" w:type="dxa"/>
              <w:right w:w="80" w:type="dxa"/>
            </w:tcMar>
          </w:tcPr>
          <w:p>
            <w:pPr>
              <w:spacing w:after="0" w:line="240" w:lineRule="auto"/>
            </w:pPr>
            <w:r>
              <w:rPr>
                <w:b w:val="0"/>
                <w:color w:val="000000"/>
                <w:sz w:val="19"/>
              </w:rPr>
              <w:t>330</w:t>
            </w:r>
          </w:p>
        </w:tc>
        <w:tc>
          <w:tcPr>
            <w:tcW w:type="dxa" w:w="1474"/>
            <w:vAlign w:val="center"/>
            <w:shd w:fill="FFFFFF"/>
            <w:tcMar>
              <w:top w:w="80" w:type="dxa"/>
              <w:bottom w:w="80" w:type="dxa"/>
              <w:left w:w="80" w:type="dxa"/>
              <w:right w:w="80" w:type="dxa"/>
            </w:tcMar>
          </w:tcPr>
          <w:p>
            <w:pPr>
              <w:spacing w:after="0" w:line="240" w:lineRule="auto"/>
            </w:pPr>
            <w:r>
              <w:rPr>
                <w:b w:val="0"/>
                <w:color w:val="000000"/>
                <w:sz w:val="19"/>
              </w:rPr>
              <w:t>399,75</w:t>
            </w:r>
          </w:p>
        </w:tc>
        <w:tc>
          <w:tcPr>
            <w:tcW w:type="dxa" w:w="1644"/>
            <w:vAlign w:val="center"/>
            <w:shd w:fill="FFFFFF"/>
            <w:tcMar>
              <w:top w:w="80" w:type="dxa"/>
              <w:bottom w:w="80" w:type="dxa"/>
              <w:left w:w="80" w:type="dxa"/>
              <w:right w:w="80" w:type="dxa"/>
            </w:tcMar>
          </w:tcPr>
          <w:p>
            <w:pPr>
              <w:spacing w:after="0" w:line="240" w:lineRule="auto"/>
            </w:pPr>
            <w:r>
              <w:rPr>
                <w:b w:val="0"/>
                <w:color w:val="000000"/>
                <w:sz w:val="19"/>
              </w:rPr>
              <w:t>39,51 %</w:t>
            </w:r>
          </w:p>
        </w:tc>
      </w:tr>
      <w:tr>
        <w:trPr>
          <w:cantSplit/>
        </w:trPr>
        <w:tc>
          <w:tcPr>
            <w:tcW w:type="dxa" w:w="2041"/>
            <w:vAlign w:val="center"/>
            <w:shd w:fill="F1F4F6"/>
            <w:tcMar>
              <w:top w:w="80" w:type="dxa"/>
              <w:bottom w:w="80" w:type="dxa"/>
              <w:left w:w="80" w:type="dxa"/>
              <w:right w:w="80" w:type="dxa"/>
            </w:tcMar>
          </w:tcPr>
          <w:p>
            <w:pPr>
              <w:spacing w:after="0" w:line="240" w:lineRule="auto"/>
            </w:pPr>
            <w:r>
              <w:rPr>
                <w:b w:val="0"/>
                <w:color w:val="000000"/>
                <w:sz w:val="19"/>
              </w:rPr>
              <w:t>BEBIDAS</w:t>
            </w:r>
          </w:p>
        </w:tc>
        <w:tc>
          <w:tcPr>
            <w:tcW w:type="dxa" w:w="964"/>
            <w:vAlign w:val="center"/>
            <w:shd w:fill="F1F4F6"/>
            <w:tcMar>
              <w:top w:w="80" w:type="dxa"/>
              <w:bottom w:w="80" w:type="dxa"/>
              <w:left w:w="80" w:type="dxa"/>
              <w:right w:w="80" w:type="dxa"/>
            </w:tcMar>
          </w:tcPr>
          <w:p>
            <w:pPr>
              <w:spacing w:after="0" w:line="240" w:lineRule="auto"/>
            </w:pPr>
            <w:r>
              <w:rPr>
                <w:b w:val="0"/>
                <w:color w:val="000000"/>
                <w:sz w:val="19"/>
              </w:rPr>
              <w:t>641</w:t>
            </w:r>
          </w:p>
        </w:tc>
        <w:tc>
          <w:tcPr>
            <w:tcW w:type="dxa" w:w="1304"/>
            <w:vAlign w:val="center"/>
            <w:shd w:fill="F1F4F6"/>
            <w:tcMar>
              <w:top w:w="80" w:type="dxa"/>
              <w:bottom w:w="80" w:type="dxa"/>
              <w:left w:w="80" w:type="dxa"/>
              <w:right w:w="80" w:type="dxa"/>
            </w:tcMar>
          </w:tcPr>
          <w:p>
            <w:pPr>
              <w:spacing w:after="0" w:line="240" w:lineRule="auto"/>
            </w:pPr>
            <w:r>
              <w:rPr>
                <w:b w:val="0"/>
                <w:color w:val="000000"/>
                <w:sz w:val="19"/>
              </w:rPr>
              <w:t>703,49</w:t>
            </w:r>
          </w:p>
        </w:tc>
        <w:tc>
          <w:tcPr>
            <w:tcW w:type="dxa" w:w="1474"/>
            <w:vAlign w:val="center"/>
            <w:shd w:fill="F1F4F6"/>
            <w:tcMar>
              <w:top w:w="80" w:type="dxa"/>
              <w:bottom w:w="80" w:type="dxa"/>
              <w:left w:w="80" w:type="dxa"/>
              <w:right w:w="80" w:type="dxa"/>
            </w:tcMar>
          </w:tcPr>
          <w:p>
            <w:pPr>
              <w:spacing w:after="0" w:line="240" w:lineRule="auto"/>
            </w:pPr>
            <w:r>
              <w:rPr>
                <w:b w:val="0"/>
                <w:color w:val="000000"/>
                <w:sz w:val="19"/>
              </w:rPr>
              <w:t>17,67 %</w:t>
            </w:r>
          </w:p>
        </w:tc>
        <w:tc>
          <w:tcPr>
            <w:tcW w:type="dxa" w:w="964"/>
            <w:vAlign w:val="center"/>
            <w:shd w:fill="F1F4F6"/>
            <w:tcMar>
              <w:top w:w="80" w:type="dxa"/>
              <w:bottom w:w="80" w:type="dxa"/>
              <w:left w:w="80" w:type="dxa"/>
              <w:right w:w="80" w:type="dxa"/>
            </w:tcMar>
          </w:tcPr>
          <w:p>
            <w:pPr>
              <w:spacing w:after="0" w:line="240" w:lineRule="auto"/>
            </w:pPr>
            <w:r>
              <w:rPr>
                <w:b w:val="0"/>
                <w:color w:val="000000"/>
                <w:sz w:val="19"/>
              </w:rPr>
              <w:t>611</w:t>
            </w:r>
          </w:p>
        </w:tc>
        <w:tc>
          <w:tcPr>
            <w:tcW w:type="dxa" w:w="1474"/>
            <w:vAlign w:val="center"/>
            <w:shd w:fill="F1F4F6"/>
            <w:tcMar>
              <w:top w:w="80" w:type="dxa"/>
              <w:bottom w:w="80" w:type="dxa"/>
              <w:left w:w="80" w:type="dxa"/>
              <w:right w:w="80" w:type="dxa"/>
            </w:tcMar>
          </w:tcPr>
          <w:p>
            <w:pPr>
              <w:spacing w:after="0" w:line="240" w:lineRule="auto"/>
            </w:pPr>
            <w:r>
              <w:rPr>
                <w:b w:val="0"/>
                <w:color w:val="000000"/>
                <w:sz w:val="19"/>
              </w:rPr>
              <w:t>672,50</w:t>
            </w:r>
          </w:p>
        </w:tc>
        <w:tc>
          <w:tcPr>
            <w:tcW w:type="dxa" w:w="1644"/>
            <w:vAlign w:val="center"/>
            <w:shd w:fill="F1F4F6"/>
            <w:tcMar>
              <w:top w:w="80" w:type="dxa"/>
              <w:bottom w:w="80" w:type="dxa"/>
              <w:left w:w="80" w:type="dxa"/>
              <w:right w:w="80" w:type="dxa"/>
            </w:tcMar>
          </w:tcPr>
          <w:p>
            <w:pPr>
              <w:spacing w:after="0" w:line="240" w:lineRule="auto"/>
            </w:pPr>
            <w:r>
              <w:rPr>
                <w:b w:val="0"/>
                <w:color w:val="000000"/>
                <w:sz w:val="19"/>
              </w:rPr>
              <w:t>15,63 %</w:t>
            </w:r>
          </w:p>
        </w:tc>
      </w:tr>
      <w:tr>
        <w:trPr>
          <w:cantSplit/>
        </w:trPr>
        <w:tc>
          <w:tcPr>
            <w:tcW w:type="dxa" w:w="2041"/>
            <w:vAlign w:val="center"/>
            <w:shd w:fill="FFFFFF"/>
            <w:tcMar>
              <w:top w:w="80" w:type="dxa"/>
              <w:bottom w:w="80" w:type="dxa"/>
              <w:left w:w="80" w:type="dxa"/>
              <w:right w:w="80" w:type="dxa"/>
            </w:tcMar>
          </w:tcPr>
          <w:p>
            <w:pPr>
              <w:spacing w:after="0" w:line="240" w:lineRule="auto"/>
            </w:pPr>
            <w:r>
              <w:rPr>
                <w:b w:val="0"/>
                <w:color w:val="000000"/>
                <w:sz w:val="19"/>
              </w:rPr>
              <w:t>GOLOSINAS</w:t>
            </w:r>
          </w:p>
        </w:tc>
        <w:tc>
          <w:tcPr>
            <w:tcW w:type="dxa" w:w="964"/>
            <w:vAlign w:val="center"/>
            <w:shd w:fill="FFFFFF"/>
            <w:tcMar>
              <w:top w:w="80" w:type="dxa"/>
              <w:bottom w:w="80" w:type="dxa"/>
              <w:left w:w="80" w:type="dxa"/>
              <w:right w:w="80" w:type="dxa"/>
            </w:tcMar>
          </w:tcPr>
          <w:p>
            <w:pPr>
              <w:spacing w:after="0" w:line="240" w:lineRule="auto"/>
            </w:pPr>
            <w:r>
              <w:rPr>
                <w:b w:val="0"/>
                <w:color w:val="000000"/>
                <w:sz w:val="19"/>
              </w:rPr>
              <w:t>465</w:t>
            </w:r>
          </w:p>
        </w:tc>
        <w:tc>
          <w:tcPr>
            <w:tcW w:type="dxa" w:w="1304"/>
            <w:vAlign w:val="center"/>
            <w:shd w:fill="FFFFFF"/>
            <w:tcMar>
              <w:top w:w="80" w:type="dxa"/>
              <w:bottom w:w="80" w:type="dxa"/>
              <w:left w:w="80" w:type="dxa"/>
              <w:right w:w="80" w:type="dxa"/>
            </w:tcMar>
          </w:tcPr>
          <w:p>
            <w:pPr>
              <w:spacing w:after="0" w:line="240" w:lineRule="auto"/>
            </w:pPr>
            <w:r>
              <w:rPr>
                <w:b w:val="0"/>
                <w:color w:val="000000"/>
                <w:sz w:val="19"/>
              </w:rPr>
              <w:t>528,73</w:t>
            </w:r>
          </w:p>
        </w:tc>
        <w:tc>
          <w:tcPr>
            <w:tcW w:type="dxa" w:w="1474"/>
            <w:vAlign w:val="center"/>
            <w:shd w:fill="FFFFFF"/>
            <w:tcMar>
              <w:top w:w="80" w:type="dxa"/>
              <w:bottom w:w="80" w:type="dxa"/>
              <w:left w:w="80" w:type="dxa"/>
              <w:right w:w="80" w:type="dxa"/>
            </w:tcMar>
          </w:tcPr>
          <w:p>
            <w:pPr>
              <w:spacing w:after="0" w:line="240" w:lineRule="auto"/>
            </w:pPr>
            <w:r>
              <w:rPr>
                <w:b w:val="0"/>
                <w:color w:val="000000"/>
                <w:sz w:val="19"/>
              </w:rPr>
              <w:t>40,13 %</w:t>
            </w:r>
          </w:p>
        </w:tc>
        <w:tc>
          <w:tcPr>
            <w:tcW w:type="dxa" w:w="964"/>
            <w:vAlign w:val="center"/>
            <w:shd w:fill="FFFFFF"/>
            <w:tcMar>
              <w:top w:w="80" w:type="dxa"/>
              <w:bottom w:w="80" w:type="dxa"/>
              <w:left w:w="80" w:type="dxa"/>
              <w:right w:w="80" w:type="dxa"/>
            </w:tcMar>
          </w:tcPr>
          <w:p>
            <w:pPr>
              <w:spacing w:after="0" w:line="240" w:lineRule="auto"/>
            </w:pPr>
            <w:r>
              <w:rPr>
                <w:b w:val="0"/>
                <w:color w:val="000000"/>
                <w:sz w:val="19"/>
              </w:rPr>
              <w:t>496</w:t>
            </w:r>
          </w:p>
        </w:tc>
        <w:tc>
          <w:tcPr>
            <w:tcW w:type="dxa" w:w="1474"/>
            <w:vAlign w:val="center"/>
            <w:shd w:fill="FFFFFF"/>
            <w:tcMar>
              <w:top w:w="80" w:type="dxa"/>
              <w:bottom w:w="80" w:type="dxa"/>
              <w:left w:w="80" w:type="dxa"/>
              <w:right w:w="80" w:type="dxa"/>
            </w:tcMar>
          </w:tcPr>
          <w:p>
            <w:pPr>
              <w:spacing w:after="0" w:line="240" w:lineRule="auto"/>
            </w:pPr>
            <w:r>
              <w:rPr>
                <w:b w:val="0"/>
                <w:color w:val="000000"/>
                <w:sz w:val="19"/>
              </w:rPr>
              <w:t>549,38</w:t>
            </w:r>
          </w:p>
        </w:tc>
        <w:tc>
          <w:tcPr>
            <w:tcW w:type="dxa" w:w="1644"/>
            <w:vAlign w:val="center"/>
            <w:shd w:fill="FFFFFF"/>
            <w:tcMar>
              <w:top w:w="80" w:type="dxa"/>
              <w:bottom w:w="80" w:type="dxa"/>
              <w:left w:w="80" w:type="dxa"/>
              <w:right w:w="80" w:type="dxa"/>
            </w:tcMar>
          </w:tcPr>
          <w:p>
            <w:pPr>
              <w:spacing w:after="0" w:line="240" w:lineRule="auto"/>
            </w:pPr>
            <w:r>
              <w:rPr>
                <w:b w:val="0"/>
                <w:color w:val="000000"/>
                <w:sz w:val="19"/>
              </w:rPr>
              <w:t>22,74 %</w:t>
            </w:r>
          </w:p>
        </w:tc>
      </w:tr>
      <w:tr>
        <w:trPr>
          <w:cantSplit/>
        </w:trPr>
        <w:tc>
          <w:tcPr>
            <w:tcW w:type="dxa" w:w="2041"/>
            <w:vAlign w:val="center"/>
            <w:shd w:fill="F1F4F6"/>
            <w:tcMar>
              <w:top w:w="80" w:type="dxa"/>
              <w:bottom w:w="80" w:type="dxa"/>
              <w:left w:w="80" w:type="dxa"/>
              <w:right w:w="80" w:type="dxa"/>
            </w:tcMar>
          </w:tcPr>
          <w:p>
            <w:pPr>
              <w:spacing w:after="0" w:line="240" w:lineRule="auto"/>
            </w:pPr>
            <w:r>
              <w:rPr>
                <w:b w:val="0"/>
                <w:color w:val="000000"/>
                <w:sz w:val="19"/>
              </w:rPr>
              <w:t>HELADOS</w:t>
            </w:r>
          </w:p>
        </w:tc>
        <w:tc>
          <w:tcPr>
            <w:tcW w:type="dxa" w:w="964"/>
            <w:vAlign w:val="center"/>
            <w:shd w:fill="F1F4F6"/>
            <w:tcMar>
              <w:top w:w="80" w:type="dxa"/>
              <w:bottom w:w="80" w:type="dxa"/>
              <w:left w:w="80" w:type="dxa"/>
              <w:right w:w="80" w:type="dxa"/>
            </w:tcMar>
          </w:tcPr>
          <w:p>
            <w:pPr>
              <w:spacing w:after="0" w:line="240" w:lineRule="auto"/>
            </w:pPr>
            <w:r>
              <w:rPr>
                <w:b w:val="0"/>
                <w:color w:val="000000"/>
                <w:sz w:val="19"/>
              </w:rPr>
              <w:t>184</w:t>
            </w:r>
          </w:p>
        </w:tc>
        <w:tc>
          <w:tcPr>
            <w:tcW w:type="dxa" w:w="1304"/>
            <w:vAlign w:val="center"/>
            <w:shd w:fill="F1F4F6"/>
            <w:tcMar>
              <w:top w:w="80" w:type="dxa"/>
              <w:bottom w:w="80" w:type="dxa"/>
              <w:left w:w="80" w:type="dxa"/>
              <w:right w:w="80" w:type="dxa"/>
            </w:tcMar>
          </w:tcPr>
          <w:p>
            <w:pPr>
              <w:spacing w:after="0" w:line="240" w:lineRule="auto"/>
            </w:pPr>
            <w:r>
              <w:rPr>
                <w:b w:val="0"/>
                <w:color w:val="000000"/>
                <w:sz w:val="19"/>
              </w:rPr>
              <w:t>204,55</w:t>
            </w:r>
          </w:p>
        </w:tc>
        <w:tc>
          <w:tcPr>
            <w:tcW w:type="dxa" w:w="1474"/>
            <w:vAlign w:val="center"/>
            <w:shd w:fill="F1F4F6"/>
            <w:tcMar>
              <w:top w:w="80" w:type="dxa"/>
              <w:bottom w:w="80" w:type="dxa"/>
              <w:left w:w="80" w:type="dxa"/>
              <w:right w:w="80" w:type="dxa"/>
            </w:tcMar>
          </w:tcPr>
          <w:p>
            <w:pPr>
              <w:spacing w:after="0" w:line="240" w:lineRule="auto"/>
            </w:pPr>
            <w:r>
              <w:rPr>
                <w:b w:val="0"/>
                <w:color w:val="000000"/>
                <w:sz w:val="19"/>
              </w:rPr>
              <w:t>25,86 %</w:t>
            </w:r>
          </w:p>
        </w:tc>
        <w:tc>
          <w:tcPr>
            <w:tcW w:type="dxa" w:w="964"/>
            <w:vAlign w:val="center"/>
            <w:shd w:fill="F1F4F6"/>
            <w:tcMar>
              <w:top w:w="80" w:type="dxa"/>
              <w:bottom w:w="80" w:type="dxa"/>
              <w:left w:w="80" w:type="dxa"/>
              <w:right w:w="80" w:type="dxa"/>
            </w:tcMar>
          </w:tcPr>
          <w:p>
            <w:pPr>
              <w:spacing w:after="0" w:line="240" w:lineRule="auto"/>
            </w:pPr>
            <w:r>
              <w:rPr>
                <w:b w:val="0"/>
                <w:color w:val="000000"/>
                <w:sz w:val="19"/>
              </w:rPr>
              <w:t>146</w:t>
            </w:r>
          </w:p>
        </w:tc>
        <w:tc>
          <w:tcPr>
            <w:tcW w:type="dxa" w:w="1474"/>
            <w:vAlign w:val="center"/>
            <w:shd w:fill="F1F4F6"/>
            <w:tcMar>
              <w:top w:w="80" w:type="dxa"/>
              <w:bottom w:w="80" w:type="dxa"/>
              <w:left w:w="80" w:type="dxa"/>
              <w:right w:w="80" w:type="dxa"/>
            </w:tcMar>
          </w:tcPr>
          <w:p>
            <w:pPr>
              <w:spacing w:after="0" w:line="240" w:lineRule="auto"/>
            </w:pPr>
            <w:r>
              <w:rPr>
                <w:b w:val="0"/>
                <w:color w:val="000000"/>
                <w:sz w:val="19"/>
              </w:rPr>
              <w:t>188,00</w:t>
            </w:r>
          </w:p>
        </w:tc>
        <w:tc>
          <w:tcPr>
            <w:tcW w:type="dxa" w:w="1644"/>
            <w:vAlign w:val="center"/>
            <w:shd w:fill="F1F4F6"/>
            <w:tcMar>
              <w:top w:w="80" w:type="dxa"/>
              <w:bottom w:w="80" w:type="dxa"/>
              <w:left w:w="80" w:type="dxa"/>
              <w:right w:w="80" w:type="dxa"/>
            </w:tcMar>
          </w:tcPr>
          <w:p>
            <w:pPr>
              <w:spacing w:after="0" w:line="240" w:lineRule="auto"/>
            </w:pPr>
            <w:r>
              <w:rPr>
                <w:b w:val="0"/>
                <w:color w:val="000000"/>
                <w:sz w:val="19"/>
              </w:rPr>
              <w:t>44,33 %</w:t>
            </w:r>
          </w:p>
        </w:tc>
      </w:tr>
      <w:tr>
        <w:trPr>
          <w:cantSplit/>
        </w:trPr>
        <w:tc>
          <w:tcPr>
            <w:tcW w:type="dxa" w:w="2041"/>
            <w:vAlign w:val="center"/>
            <w:shd w:fill="FFFFFF"/>
            <w:tcMar>
              <w:top w:w="80" w:type="dxa"/>
              <w:bottom w:w="80" w:type="dxa"/>
              <w:left w:w="80" w:type="dxa"/>
              <w:right w:w="80" w:type="dxa"/>
            </w:tcMar>
          </w:tcPr>
          <w:p>
            <w:pPr>
              <w:spacing w:after="0" w:line="240" w:lineRule="auto"/>
            </w:pPr>
            <w:r>
              <w:rPr>
                <w:b w:val="0"/>
                <w:color w:val="000000"/>
                <w:sz w:val="19"/>
              </w:rPr>
              <w:t>LIMPIEZA</w:t>
            </w:r>
          </w:p>
        </w:tc>
        <w:tc>
          <w:tcPr>
            <w:tcW w:type="dxa" w:w="964"/>
            <w:vAlign w:val="center"/>
            <w:shd w:fill="FFFFFF"/>
            <w:tcMar>
              <w:top w:w="80" w:type="dxa"/>
              <w:bottom w:w="80" w:type="dxa"/>
              <w:left w:w="80" w:type="dxa"/>
              <w:right w:w="80" w:type="dxa"/>
            </w:tcMar>
          </w:tcPr>
          <w:p>
            <w:pPr>
              <w:spacing w:after="0" w:line="240" w:lineRule="auto"/>
            </w:pPr>
            <w:r>
              <w:rPr>
                <w:b w:val="0"/>
                <w:color w:val="000000"/>
                <w:sz w:val="19"/>
              </w:rPr>
              <w:t>115</w:t>
            </w:r>
          </w:p>
        </w:tc>
        <w:tc>
          <w:tcPr>
            <w:tcW w:type="dxa" w:w="1304"/>
            <w:vAlign w:val="center"/>
            <w:shd w:fill="FFFFFF"/>
            <w:tcMar>
              <w:top w:w="80" w:type="dxa"/>
              <w:bottom w:w="80" w:type="dxa"/>
              <w:left w:w="80" w:type="dxa"/>
              <w:right w:w="80" w:type="dxa"/>
            </w:tcMar>
          </w:tcPr>
          <w:p>
            <w:pPr>
              <w:spacing w:after="0" w:line="240" w:lineRule="auto"/>
            </w:pPr>
            <w:r>
              <w:rPr>
                <w:b w:val="0"/>
                <w:color w:val="000000"/>
                <w:sz w:val="19"/>
              </w:rPr>
              <w:t>128,15</w:t>
            </w:r>
          </w:p>
        </w:tc>
        <w:tc>
          <w:tcPr>
            <w:tcW w:type="dxa" w:w="1474"/>
            <w:vAlign w:val="center"/>
            <w:shd w:fill="FFFFFF"/>
            <w:tcMar>
              <w:top w:w="80" w:type="dxa"/>
              <w:bottom w:w="80" w:type="dxa"/>
              <w:left w:w="80" w:type="dxa"/>
              <w:right w:w="80" w:type="dxa"/>
            </w:tcMar>
          </w:tcPr>
          <w:p>
            <w:pPr>
              <w:spacing w:after="0" w:line="240" w:lineRule="auto"/>
            </w:pPr>
            <w:r>
              <w:rPr>
                <w:b w:val="0"/>
                <w:color w:val="000000"/>
                <w:sz w:val="19"/>
              </w:rPr>
              <w:t>24,70 %</w:t>
            </w:r>
          </w:p>
        </w:tc>
        <w:tc>
          <w:tcPr>
            <w:tcW w:type="dxa" w:w="964"/>
            <w:vAlign w:val="center"/>
            <w:shd w:fill="FFFFFF"/>
            <w:tcMar>
              <w:top w:w="80" w:type="dxa"/>
              <w:bottom w:w="80" w:type="dxa"/>
              <w:left w:w="80" w:type="dxa"/>
              <w:right w:w="80" w:type="dxa"/>
            </w:tcMar>
          </w:tcPr>
          <w:p>
            <w:pPr>
              <w:spacing w:after="0" w:line="240" w:lineRule="auto"/>
            </w:pPr>
            <w:r>
              <w:rPr>
                <w:b w:val="0"/>
                <w:color w:val="000000"/>
                <w:sz w:val="19"/>
              </w:rPr>
              <w:t>88</w:t>
            </w:r>
          </w:p>
        </w:tc>
        <w:tc>
          <w:tcPr>
            <w:tcW w:type="dxa" w:w="1474"/>
            <w:vAlign w:val="center"/>
            <w:shd w:fill="FFFFFF"/>
            <w:tcMar>
              <w:top w:w="80" w:type="dxa"/>
              <w:bottom w:w="80" w:type="dxa"/>
              <w:left w:w="80" w:type="dxa"/>
              <w:right w:w="80" w:type="dxa"/>
            </w:tcMar>
          </w:tcPr>
          <w:p>
            <w:pPr>
              <w:spacing w:after="0" w:line="240" w:lineRule="auto"/>
            </w:pPr>
            <w:r>
              <w:rPr>
                <w:b w:val="0"/>
                <w:color w:val="000000"/>
                <w:sz w:val="19"/>
              </w:rPr>
              <w:t>121,75</w:t>
            </w:r>
          </w:p>
        </w:tc>
        <w:tc>
          <w:tcPr>
            <w:tcW w:type="dxa" w:w="1644"/>
            <w:vAlign w:val="center"/>
            <w:shd w:fill="FFFFFF"/>
            <w:tcMar>
              <w:top w:w="80" w:type="dxa"/>
              <w:bottom w:w="80" w:type="dxa"/>
              <w:left w:w="80" w:type="dxa"/>
              <w:right w:w="80" w:type="dxa"/>
            </w:tcMar>
          </w:tcPr>
          <w:p>
            <w:pPr>
              <w:spacing w:after="0" w:line="240" w:lineRule="auto"/>
            </w:pPr>
            <w:r>
              <w:rPr>
                <w:b w:val="0"/>
                <w:color w:val="000000"/>
                <w:sz w:val="19"/>
              </w:rPr>
              <w:t>47,27 %</w:t>
            </w:r>
          </w:p>
        </w:tc>
      </w:tr>
    </w:tbl>
    <w:p/>
    <w:p>
      <w:r>
        <w:t>Fórmula del instrumento: MAPE = (100/n) × Σ |(DR − DP) / DR|. Se utilizan siete parejas diarias por categoría y 35 parejas para el global. No hay DR igual a cero en estas ventanas. Los totales semanales de DR y DP no se usan como una sola observación para el MAPE.</w:t>
      </w:r>
    </w:p>
    <w:p>
      <w:r>
        <w:t>El MAPE del modelo en la misma semana es 2,35 puntos porcentuales mayor que el de PMS-7. Por tanto, esta ejecución no respalda una mejora global de precisión. Tampoco permite afirmar que el modelo sea inferior en cualquier otro período. La diferencia entre 27,69 % y 33,89 % mezcla semanas y métodos distintos; no permite atribuir un efecto al programa.</w:t>
      </w:r>
    </w:p>
    <w:p>
      <w:r>
        <w:t>El PMS-7 del pretest se reconstruyó usando las siete últimas observaciones hasta el 01/09 y agregando cada estimación al siguiente paso. La tesis contempla PMS como referencia, pero no se aportó evidencia de que PMS-7 fuera el método usado previamente por la tienda.</w:t>
      </w:r>
    </w:p>
    <w:p>
      <w:r>
        <w:t>En esta ejecución el programa selecciona promedio estacional para ABARROTES, BEBIDAS, HELADOS y LIMPIEZA; Random Forest para GOLOSINAS. Esta selección debe describirse de forma explícita en el informe de tesis.</w:t>
      </w:r>
    </w:p>
    <w:p>
      <w:r>
        <w:br w:type="page"/>
      </w:r>
    </w:p>
    <w:p>
      <w:pPr>
        <w:pStyle w:val="Heading1"/>
      </w:pPr>
      <w:r>
        <w:t>Inventario y estacionalidad</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762"/>
        <w:gridCol w:w="2551"/>
        <w:gridCol w:w="2551"/>
      </w:tblGrid>
      <w:tr>
        <w:trPr>
          <w:cantSplit/>
          <w:tblHeader/>
        </w:trPr>
        <w:tc>
          <w:tcPr>
            <w:tcW w:type="dxa" w:w="4762"/>
            <w:vAlign w:val="center"/>
            <w:shd w:fill="193854"/>
            <w:tcMar>
              <w:top w:w="80" w:type="dxa"/>
              <w:bottom w:w="80" w:type="dxa"/>
              <w:left w:w="80" w:type="dxa"/>
              <w:right w:w="80" w:type="dxa"/>
            </w:tcMar>
          </w:tcPr>
          <w:p>
            <w:pPr>
              <w:spacing w:after="0" w:line="240" w:lineRule="auto"/>
            </w:pPr>
            <w:r>
              <w:rPr>
                <w:b/>
                <w:color w:val="FFFFFF"/>
                <w:sz w:val="19"/>
              </w:rPr>
              <w:t>Indicador agregado</w:t>
            </w:r>
          </w:p>
        </w:tc>
        <w:tc>
          <w:tcPr>
            <w:tcW w:type="dxa" w:w="2551"/>
            <w:vAlign w:val="center"/>
            <w:shd w:fill="193854"/>
            <w:tcMar>
              <w:top w:w="80" w:type="dxa"/>
              <w:bottom w:w="80" w:type="dxa"/>
              <w:left w:w="80" w:type="dxa"/>
              <w:right w:w="80" w:type="dxa"/>
            </w:tcMar>
          </w:tcPr>
          <w:p>
            <w:pPr>
              <w:spacing w:after="0" w:line="240" w:lineRule="auto"/>
            </w:pPr>
            <w:r>
              <w:rPr>
                <w:b/>
                <w:color w:val="FFFFFF"/>
                <w:sz w:val="19"/>
              </w:rPr>
              <w:t>Pretest</w:t>
            </w:r>
          </w:p>
        </w:tc>
        <w:tc>
          <w:tcPr>
            <w:tcW w:type="dxa" w:w="2551"/>
            <w:vAlign w:val="center"/>
            <w:shd w:fill="193854"/>
            <w:tcMar>
              <w:top w:w="80" w:type="dxa"/>
              <w:bottom w:w="80" w:type="dxa"/>
              <w:left w:w="80" w:type="dxa"/>
              <w:right w:w="80" w:type="dxa"/>
            </w:tcMar>
          </w:tcPr>
          <w:p>
            <w:pPr>
              <w:spacing w:after="0" w:line="240" w:lineRule="auto"/>
            </w:pPr>
            <w:r>
              <w:rPr>
                <w:b/>
                <w:color w:val="FFFFFF"/>
                <w:sz w:val="19"/>
              </w:rPr>
              <w:t>Postest</w:t>
            </w:r>
          </w:p>
        </w:tc>
      </w:tr>
      <w:tr>
        <w:trPr>
          <w:cantSplit/>
        </w:trPr>
        <w:tc>
          <w:tcPr>
            <w:tcW w:type="dxa" w:w="4762"/>
            <w:vAlign w:val="center"/>
            <w:shd w:fill="FFFFFF"/>
            <w:tcMar>
              <w:top w:w="80" w:type="dxa"/>
              <w:bottom w:w="80" w:type="dxa"/>
              <w:left w:w="80" w:type="dxa"/>
              <w:right w:w="80" w:type="dxa"/>
            </w:tcMar>
          </w:tcPr>
          <w:p>
            <w:pPr>
              <w:spacing w:after="0" w:line="240" w:lineRule="auto"/>
            </w:pPr>
            <w:r>
              <w:rPr>
                <w:b w:val="0"/>
                <w:color w:val="000000"/>
                <w:sz w:val="19"/>
              </w:rPr>
              <w:t>SI</w:t>
            </w:r>
          </w:p>
        </w:tc>
        <w:tc>
          <w:tcPr>
            <w:tcW w:type="dxa" w:w="2551"/>
            <w:vAlign w:val="center"/>
            <w:shd w:fill="FFFFFF"/>
            <w:tcMar>
              <w:top w:w="80" w:type="dxa"/>
              <w:bottom w:w="80" w:type="dxa"/>
              <w:left w:w="80" w:type="dxa"/>
              <w:right w:w="80" w:type="dxa"/>
            </w:tcMar>
          </w:tcPr>
          <w:p>
            <w:pPr>
              <w:spacing w:after="0" w:line="240" w:lineRule="auto"/>
            </w:pPr>
            <w:r>
              <w:rPr>
                <w:b w:val="0"/>
                <w:color w:val="000000"/>
                <w:sz w:val="19"/>
              </w:rPr>
              <w:t>1988</w:t>
            </w:r>
          </w:p>
        </w:tc>
        <w:tc>
          <w:tcPr>
            <w:tcW w:type="dxa" w:w="2551"/>
            <w:vAlign w:val="center"/>
            <w:shd w:fill="FFFFFF"/>
            <w:tcMar>
              <w:top w:w="80" w:type="dxa"/>
              <w:bottom w:w="80" w:type="dxa"/>
              <w:left w:w="80" w:type="dxa"/>
              <w:right w:w="80" w:type="dxa"/>
            </w:tcMar>
          </w:tcPr>
          <w:p>
            <w:pPr>
              <w:spacing w:after="0" w:line="240" w:lineRule="auto"/>
            </w:pPr>
            <w:r>
              <w:rPr>
                <w:b w:val="0"/>
                <w:color w:val="000000"/>
                <w:sz w:val="19"/>
              </w:rPr>
              <w:t>1965</w:t>
            </w:r>
          </w:p>
        </w:tc>
      </w:tr>
      <w:tr>
        <w:trPr>
          <w:cantSplit/>
        </w:trPr>
        <w:tc>
          <w:tcPr>
            <w:tcW w:type="dxa" w:w="4762"/>
            <w:vAlign w:val="center"/>
            <w:shd w:fill="F1F4F6"/>
            <w:tcMar>
              <w:top w:w="80" w:type="dxa"/>
              <w:bottom w:w="80" w:type="dxa"/>
              <w:left w:w="80" w:type="dxa"/>
              <w:right w:w="80" w:type="dxa"/>
            </w:tcMar>
          </w:tcPr>
          <w:p>
            <w:pPr>
              <w:spacing w:after="0" w:line="240" w:lineRule="auto"/>
            </w:pPr>
            <w:r>
              <w:rPr>
                <w:b w:val="0"/>
                <w:color w:val="000000"/>
                <w:sz w:val="19"/>
              </w:rPr>
              <w:t>EN</w:t>
            </w:r>
          </w:p>
        </w:tc>
        <w:tc>
          <w:tcPr>
            <w:tcW w:type="dxa" w:w="2551"/>
            <w:vAlign w:val="center"/>
            <w:shd w:fill="F1F4F6"/>
            <w:tcMar>
              <w:top w:w="80" w:type="dxa"/>
              <w:bottom w:w="80" w:type="dxa"/>
              <w:left w:w="80" w:type="dxa"/>
              <w:right w:w="80" w:type="dxa"/>
            </w:tcMar>
          </w:tcPr>
          <w:p>
            <w:pPr>
              <w:spacing w:after="0" w:line="240" w:lineRule="auto"/>
            </w:pPr>
            <w:r>
              <w:rPr>
                <w:b w:val="0"/>
                <w:color w:val="000000"/>
                <w:sz w:val="19"/>
              </w:rPr>
              <w:t>778</w:t>
            </w:r>
          </w:p>
        </w:tc>
        <w:tc>
          <w:tcPr>
            <w:tcW w:type="dxa" w:w="2551"/>
            <w:vAlign w:val="center"/>
            <w:shd w:fill="F1F4F6"/>
            <w:tcMar>
              <w:top w:w="80" w:type="dxa"/>
              <w:bottom w:w="80" w:type="dxa"/>
              <w:left w:w="80" w:type="dxa"/>
              <w:right w:w="80" w:type="dxa"/>
            </w:tcMar>
          </w:tcPr>
          <w:p>
            <w:pPr>
              <w:spacing w:after="0" w:line="240" w:lineRule="auto"/>
            </w:pPr>
            <w:r>
              <w:rPr>
                <w:b w:val="0"/>
                <w:color w:val="000000"/>
                <w:sz w:val="19"/>
              </w:rPr>
              <w:t>786</w:t>
            </w:r>
          </w:p>
        </w:tc>
      </w:tr>
      <w:tr>
        <w:trPr>
          <w:cantSplit/>
        </w:trPr>
        <w:tc>
          <w:tcPr>
            <w:tcW w:type="dxa" w:w="4762"/>
            <w:vAlign w:val="center"/>
            <w:shd w:fill="FFFFFF"/>
            <w:tcMar>
              <w:top w:w="80" w:type="dxa"/>
              <w:bottom w:w="80" w:type="dxa"/>
              <w:left w:w="80" w:type="dxa"/>
              <w:right w:w="80" w:type="dxa"/>
            </w:tcMar>
          </w:tcPr>
          <w:p>
            <w:pPr>
              <w:spacing w:after="0" w:line="240" w:lineRule="auto"/>
            </w:pPr>
            <w:r>
              <w:rPr>
                <w:b w:val="0"/>
                <w:color w:val="000000"/>
                <w:sz w:val="19"/>
              </w:rPr>
              <w:t>SF</w:t>
            </w:r>
          </w:p>
        </w:tc>
        <w:tc>
          <w:tcPr>
            <w:tcW w:type="dxa" w:w="2551"/>
            <w:vAlign w:val="center"/>
            <w:shd w:fill="FFFFFF"/>
            <w:tcMar>
              <w:top w:w="80" w:type="dxa"/>
              <w:bottom w:w="80" w:type="dxa"/>
              <w:left w:w="80" w:type="dxa"/>
              <w:right w:w="80" w:type="dxa"/>
            </w:tcMar>
          </w:tcPr>
          <w:p>
            <w:pPr>
              <w:spacing w:after="0" w:line="240" w:lineRule="auto"/>
            </w:pPr>
            <w:r>
              <w:rPr>
                <w:b w:val="0"/>
                <w:color w:val="000000"/>
                <w:sz w:val="19"/>
              </w:rPr>
              <w:t>1355</w:t>
            </w:r>
          </w:p>
        </w:tc>
        <w:tc>
          <w:tcPr>
            <w:tcW w:type="dxa" w:w="2551"/>
            <w:vAlign w:val="center"/>
            <w:shd w:fill="FFFFFF"/>
            <w:tcMar>
              <w:top w:w="80" w:type="dxa"/>
              <w:bottom w:w="80" w:type="dxa"/>
              <w:left w:w="80" w:type="dxa"/>
              <w:right w:w="80" w:type="dxa"/>
            </w:tcMar>
          </w:tcPr>
          <w:p>
            <w:pPr>
              <w:spacing w:after="0" w:line="240" w:lineRule="auto"/>
            </w:pPr>
            <w:r>
              <w:rPr>
                <w:b w:val="0"/>
                <w:color w:val="000000"/>
                <w:sz w:val="19"/>
              </w:rPr>
              <w:t>1440</w:t>
            </w:r>
          </w:p>
        </w:tc>
      </w:tr>
      <w:tr>
        <w:trPr>
          <w:cantSplit/>
        </w:trPr>
        <w:tc>
          <w:tcPr>
            <w:tcW w:type="dxa" w:w="4762"/>
            <w:vAlign w:val="center"/>
            <w:shd w:fill="F1F4F6"/>
            <w:tcMar>
              <w:top w:w="80" w:type="dxa"/>
              <w:bottom w:w="80" w:type="dxa"/>
              <w:left w:w="80" w:type="dxa"/>
              <w:right w:w="80" w:type="dxa"/>
            </w:tcMar>
          </w:tcPr>
          <w:p>
            <w:pPr>
              <w:spacing w:after="0" w:line="240" w:lineRule="auto"/>
            </w:pPr>
            <w:r>
              <w:rPr>
                <w:b w:val="0"/>
                <w:color w:val="000000"/>
                <w:sz w:val="19"/>
              </w:rPr>
              <w:t>CD por balance</w:t>
            </w:r>
          </w:p>
        </w:tc>
        <w:tc>
          <w:tcPr>
            <w:tcW w:type="dxa" w:w="2551"/>
            <w:vAlign w:val="center"/>
            <w:shd w:fill="F1F4F6"/>
            <w:tcMar>
              <w:top w:w="80" w:type="dxa"/>
              <w:bottom w:w="80" w:type="dxa"/>
              <w:left w:w="80" w:type="dxa"/>
              <w:right w:w="80" w:type="dxa"/>
            </w:tcMar>
          </w:tcPr>
          <w:p>
            <w:pPr>
              <w:spacing w:after="0" w:line="240" w:lineRule="auto"/>
            </w:pPr>
            <w:r>
              <w:rPr>
                <w:b w:val="0"/>
                <w:color w:val="000000"/>
                <w:sz w:val="19"/>
              </w:rPr>
              <w:t>1411</w:t>
            </w:r>
          </w:p>
        </w:tc>
        <w:tc>
          <w:tcPr>
            <w:tcW w:type="dxa" w:w="2551"/>
            <w:vAlign w:val="center"/>
            <w:shd w:fill="F1F4F6"/>
            <w:tcMar>
              <w:top w:w="80" w:type="dxa"/>
              <w:bottom w:w="80" w:type="dxa"/>
              <w:left w:w="80" w:type="dxa"/>
              <w:right w:w="80" w:type="dxa"/>
            </w:tcMar>
          </w:tcPr>
          <w:p>
            <w:pPr>
              <w:spacing w:after="0" w:line="240" w:lineRule="auto"/>
            </w:pPr>
            <w:r>
              <w:rPr>
                <w:b w:val="0"/>
                <w:color w:val="000000"/>
                <w:sz w:val="19"/>
              </w:rPr>
              <w:t>1311</w:t>
            </w:r>
          </w:p>
        </w:tc>
      </w:tr>
      <w:tr>
        <w:trPr>
          <w:cantSplit/>
        </w:trPr>
        <w:tc>
          <w:tcPr>
            <w:tcW w:type="dxa" w:w="4762"/>
            <w:vAlign w:val="center"/>
            <w:shd w:fill="FFFFFF"/>
            <w:tcMar>
              <w:top w:w="80" w:type="dxa"/>
              <w:bottom w:w="80" w:type="dxa"/>
              <w:left w:w="80" w:type="dxa"/>
              <w:right w:w="80" w:type="dxa"/>
            </w:tcMar>
          </w:tcPr>
          <w:p>
            <w:pPr>
              <w:spacing w:after="0" w:line="240" w:lineRule="auto"/>
            </w:pPr>
            <w:r>
              <w:rPr>
                <w:b w:val="0"/>
                <w:color w:val="000000"/>
                <w:sz w:val="19"/>
              </w:rPr>
              <w:t>CD por ventas</w:t>
            </w:r>
          </w:p>
        </w:tc>
        <w:tc>
          <w:tcPr>
            <w:tcW w:type="dxa" w:w="2551"/>
            <w:vAlign w:val="center"/>
            <w:shd w:fill="FFFFFF"/>
            <w:tcMar>
              <w:top w:w="80" w:type="dxa"/>
              <w:bottom w:w="80" w:type="dxa"/>
              <w:left w:w="80" w:type="dxa"/>
              <w:right w:w="80" w:type="dxa"/>
            </w:tcMar>
          </w:tcPr>
          <w:p>
            <w:pPr>
              <w:spacing w:after="0" w:line="240" w:lineRule="auto"/>
            </w:pPr>
            <w:r>
              <w:rPr>
                <w:b w:val="0"/>
                <w:color w:val="000000"/>
                <w:sz w:val="19"/>
              </w:rPr>
              <w:t>1784</w:t>
            </w:r>
          </w:p>
        </w:tc>
        <w:tc>
          <w:tcPr>
            <w:tcW w:type="dxa" w:w="2551"/>
            <w:vAlign w:val="center"/>
            <w:shd w:fill="FFFFFF"/>
            <w:tcMar>
              <w:top w:w="80" w:type="dxa"/>
              <w:bottom w:w="80" w:type="dxa"/>
              <w:left w:w="80" w:type="dxa"/>
              <w:right w:w="80" w:type="dxa"/>
            </w:tcMar>
          </w:tcPr>
          <w:p>
            <w:pPr>
              <w:spacing w:after="0" w:line="240" w:lineRule="auto"/>
            </w:pPr>
            <w:r>
              <w:rPr>
                <w:b w:val="0"/>
                <w:color w:val="000000"/>
                <w:sz w:val="19"/>
              </w:rPr>
              <w:t>1671</w:t>
            </w:r>
          </w:p>
        </w:tc>
      </w:tr>
      <w:tr>
        <w:trPr>
          <w:cantSplit/>
        </w:trPr>
        <w:tc>
          <w:tcPr>
            <w:tcW w:type="dxa" w:w="4762"/>
            <w:vAlign w:val="center"/>
            <w:shd w:fill="F1F4F6"/>
            <w:tcMar>
              <w:top w:w="80" w:type="dxa"/>
              <w:bottom w:w="80" w:type="dxa"/>
              <w:left w:w="80" w:type="dxa"/>
              <w:right w:w="80" w:type="dxa"/>
            </w:tcMar>
          </w:tcPr>
          <w:p>
            <w:pPr>
              <w:spacing w:after="0" w:line="240" w:lineRule="auto"/>
            </w:pPr>
            <w:r>
              <w:rPr>
                <w:b w:val="0"/>
                <w:color w:val="000000"/>
                <w:sz w:val="19"/>
              </w:rPr>
              <w:t>Ventas menos balance</w:t>
            </w:r>
          </w:p>
        </w:tc>
        <w:tc>
          <w:tcPr>
            <w:tcW w:type="dxa" w:w="2551"/>
            <w:vAlign w:val="center"/>
            <w:shd w:fill="F1F4F6"/>
            <w:tcMar>
              <w:top w:w="80" w:type="dxa"/>
              <w:bottom w:w="80" w:type="dxa"/>
              <w:left w:w="80" w:type="dxa"/>
              <w:right w:w="80" w:type="dxa"/>
            </w:tcMar>
          </w:tcPr>
          <w:p>
            <w:pPr>
              <w:spacing w:after="0" w:line="240" w:lineRule="auto"/>
            </w:pPr>
            <w:r>
              <w:rPr>
                <w:b w:val="0"/>
                <w:color w:val="000000"/>
                <w:sz w:val="19"/>
              </w:rPr>
              <w:t>373</w:t>
            </w:r>
          </w:p>
        </w:tc>
        <w:tc>
          <w:tcPr>
            <w:tcW w:type="dxa" w:w="2551"/>
            <w:vAlign w:val="center"/>
            <w:shd w:fill="F1F4F6"/>
            <w:tcMar>
              <w:top w:w="80" w:type="dxa"/>
              <w:bottom w:w="80" w:type="dxa"/>
              <w:left w:w="80" w:type="dxa"/>
              <w:right w:w="80" w:type="dxa"/>
            </w:tcMar>
          </w:tcPr>
          <w:p>
            <w:pPr>
              <w:spacing w:after="0" w:line="240" w:lineRule="auto"/>
            </w:pPr>
            <w:r>
              <w:rPr>
                <w:b w:val="0"/>
                <w:color w:val="000000"/>
                <w:sz w:val="19"/>
              </w:rPr>
              <w:t>360</w:t>
            </w:r>
          </w:p>
        </w:tc>
      </w:tr>
      <w:tr>
        <w:trPr>
          <w:cantSplit/>
        </w:trPr>
        <w:tc>
          <w:tcPr>
            <w:tcW w:type="dxa" w:w="4762"/>
            <w:vAlign w:val="center"/>
            <w:shd w:fill="FFFFFF"/>
            <w:tcMar>
              <w:top w:w="80" w:type="dxa"/>
              <w:bottom w:w="80" w:type="dxa"/>
              <w:left w:w="80" w:type="dxa"/>
              <w:right w:w="80" w:type="dxa"/>
            </w:tcMar>
          </w:tcPr>
          <w:p>
            <w:pPr>
              <w:spacing w:after="0" w:line="240" w:lineRule="auto"/>
            </w:pPr>
            <w:r>
              <w:rPr>
                <w:b w:val="0"/>
                <w:color w:val="000000"/>
                <w:sz w:val="19"/>
              </w:rPr>
              <w:t>ISI en porcentaje</w:t>
            </w:r>
          </w:p>
        </w:tc>
        <w:tc>
          <w:tcPr>
            <w:tcW w:type="dxa" w:w="2551"/>
            <w:vAlign w:val="center"/>
            <w:shd w:fill="FFFFFF"/>
            <w:tcMar>
              <w:top w:w="80" w:type="dxa"/>
              <w:bottom w:w="80" w:type="dxa"/>
              <w:left w:w="80" w:type="dxa"/>
              <w:right w:w="80" w:type="dxa"/>
            </w:tcMar>
          </w:tcPr>
          <w:p>
            <w:pPr>
              <w:spacing w:after="0" w:line="240" w:lineRule="auto"/>
            </w:pPr>
            <w:r>
              <w:rPr>
                <w:b w:val="0"/>
                <w:color w:val="000000"/>
                <w:sz w:val="19"/>
              </w:rPr>
              <w:t>51,01 %</w:t>
            </w:r>
          </w:p>
        </w:tc>
        <w:tc>
          <w:tcPr>
            <w:tcW w:type="dxa" w:w="2551"/>
            <w:vAlign w:val="center"/>
            <w:shd w:fill="FFFFFF"/>
            <w:tcMar>
              <w:top w:w="80" w:type="dxa"/>
              <w:bottom w:w="80" w:type="dxa"/>
              <w:left w:w="80" w:type="dxa"/>
              <w:right w:w="80" w:type="dxa"/>
            </w:tcMar>
          </w:tcPr>
          <w:p>
            <w:pPr>
              <w:spacing w:after="0" w:line="240" w:lineRule="auto"/>
            </w:pPr>
            <w:r>
              <w:rPr>
                <w:b w:val="0"/>
                <w:color w:val="000000"/>
                <w:sz w:val="19"/>
              </w:rPr>
              <w:t>47,66 %</w:t>
            </w:r>
          </w:p>
        </w:tc>
      </w:tr>
      <w:tr>
        <w:trPr>
          <w:cantSplit/>
        </w:trPr>
        <w:tc>
          <w:tcPr>
            <w:tcW w:type="dxa" w:w="4762"/>
            <w:vAlign w:val="center"/>
            <w:shd w:fill="F1F4F6"/>
            <w:tcMar>
              <w:top w:w="80" w:type="dxa"/>
              <w:bottom w:w="80" w:type="dxa"/>
              <w:left w:w="80" w:type="dxa"/>
              <w:right w:w="80" w:type="dxa"/>
            </w:tcMar>
          </w:tcPr>
          <w:p>
            <w:pPr>
              <w:spacing w:after="0" w:line="240" w:lineRule="auto"/>
            </w:pPr>
            <w:r>
              <w:rPr>
                <w:b w:val="0"/>
                <w:color w:val="000000"/>
                <w:sz w:val="19"/>
              </w:rPr>
              <w:t>DQS / categoría-días</w:t>
            </w:r>
          </w:p>
        </w:tc>
        <w:tc>
          <w:tcPr>
            <w:tcW w:type="dxa" w:w="2551"/>
            <w:vAlign w:val="center"/>
            <w:shd w:fill="F1F4F6"/>
            <w:tcMar>
              <w:top w:w="80" w:type="dxa"/>
              <w:bottom w:w="80" w:type="dxa"/>
              <w:left w:w="80" w:type="dxa"/>
              <w:right w:w="80" w:type="dxa"/>
            </w:tcMar>
          </w:tcPr>
          <w:p>
            <w:pPr>
              <w:spacing w:after="0" w:line="240" w:lineRule="auto"/>
            </w:pPr>
            <w:r>
              <w:rPr>
                <w:b w:val="0"/>
                <w:color w:val="000000"/>
                <w:sz w:val="19"/>
              </w:rPr>
              <w:t>2 / 35</w:t>
            </w:r>
          </w:p>
        </w:tc>
        <w:tc>
          <w:tcPr>
            <w:tcW w:type="dxa" w:w="2551"/>
            <w:vAlign w:val="center"/>
            <w:shd w:fill="F1F4F6"/>
            <w:tcMar>
              <w:top w:w="80" w:type="dxa"/>
              <w:bottom w:w="80" w:type="dxa"/>
              <w:left w:w="80" w:type="dxa"/>
              <w:right w:w="80" w:type="dxa"/>
            </w:tcMar>
          </w:tcPr>
          <w:p>
            <w:pPr>
              <w:spacing w:after="0" w:line="240" w:lineRule="auto"/>
            </w:pPr>
            <w:r>
              <w:rPr>
                <w:b w:val="0"/>
                <w:color w:val="000000"/>
                <w:sz w:val="19"/>
              </w:rPr>
              <w:t>3 / 35</w:t>
            </w:r>
          </w:p>
        </w:tc>
      </w:tr>
      <w:tr>
        <w:trPr>
          <w:cantSplit/>
        </w:trPr>
        <w:tc>
          <w:tcPr>
            <w:tcW w:type="dxa" w:w="4762"/>
            <w:vAlign w:val="center"/>
            <w:shd w:fill="FFFFFF"/>
            <w:tcMar>
              <w:top w:w="80" w:type="dxa"/>
              <w:bottom w:w="80" w:type="dxa"/>
              <w:left w:w="80" w:type="dxa"/>
              <w:right w:w="80" w:type="dxa"/>
            </w:tcMar>
          </w:tcPr>
          <w:p>
            <w:pPr>
              <w:spacing w:after="0" w:line="240" w:lineRule="auto"/>
            </w:pPr>
            <w:r>
              <w:rPr>
                <w:b w:val="0"/>
                <w:color w:val="000000"/>
                <w:sz w:val="19"/>
              </w:rPr>
              <w:t>TQS</w:t>
            </w:r>
          </w:p>
        </w:tc>
        <w:tc>
          <w:tcPr>
            <w:tcW w:type="dxa" w:w="2551"/>
            <w:vAlign w:val="center"/>
            <w:shd w:fill="FFFFFF"/>
            <w:tcMar>
              <w:top w:w="80" w:type="dxa"/>
              <w:bottom w:w="80" w:type="dxa"/>
              <w:left w:w="80" w:type="dxa"/>
              <w:right w:w="80" w:type="dxa"/>
            </w:tcMar>
          </w:tcPr>
          <w:p>
            <w:pPr>
              <w:spacing w:after="0" w:line="240" w:lineRule="auto"/>
            </w:pPr>
            <w:r>
              <w:rPr>
                <w:b w:val="0"/>
                <w:color w:val="000000"/>
                <w:sz w:val="19"/>
              </w:rPr>
              <w:t>5,71 %</w:t>
            </w:r>
          </w:p>
        </w:tc>
        <w:tc>
          <w:tcPr>
            <w:tcW w:type="dxa" w:w="2551"/>
            <w:vAlign w:val="center"/>
            <w:shd w:fill="FFFFFF"/>
            <w:tcMar>
              <w:top w:w="80" w:type="dxa"/>
              <w:bottom w:w="80" w:type="dxa"/>
              <w:left w:w="80" w:type="dxa"/>
              <w:right w:w="80" w:type="dxa"/>
            </w:tcMar>
          </w:tcPr>
          <w:p>
            <w:pPr>
              <w:spacing w:after="0" w:line="240" w:lineRule="auto"/>
            </w:pPr>
            <w:r>
              <w:rPr>
                <w:b w:val="0"/>
                <w:color w:val="000000"/>
                <w:sz w:val="19"/>
              </w:rPr>
              <w:t>8,57 %</w:t>
            </w:r>
          </w:p>
        </w:tc>
      </w:tr>
      <w:tr>
        <w:trPr>
          <w:cantSplit/>
        </w:trPr>
        <w:tc>
          <w:tcPr>
            <w:tcW w:type="dxa" w:w="4762"/>
            <w:vAlign w:val="center"/>
            <w:shd w:fill="F1F4F6"/>
            <w:tcMar>
              <w:top w:w="80" w:type="dxa"/>
              <w:bottom w:w="80" w:type="dxa"/>
              <w:left w:w="80" w:type="dxa"/>
              <w:right w:w="80" w:type="dxa"/>
            </w:tcMar>
          </w:tcPr>
          <w:p>
            <w:pPr>
              <w:spacing w:after="0" w:line="240" w:lineRule="auto"/>
            </w:pPr>
            <w:r>
              <w:rPr>
                <w:b w:val="0"/>
                <w:color w:val="000000"/>
                <w:sz w:val="19"/>
              </w:rPr>
              <w:t>IE semanal frente a agosto</w:t>
            </w:r>
          </w:p>
        </w:tc>
        <w:tc>
          <w:tcPr>
            <w:tcW w:type="dxa" w:w="2551"/>
            <w:vAlign w:val="center"/>
            <w:shd w:fill="F1F4F6"/>
            <w:tcMar>
              <w:top w:w="80" w:type="dxa"/>
              <w:bottom w:w="80" w:type="dxa"/>
              <w:left w:w="80" w:type="dxa"/>
              <w:right w:w="80" w:type="dxa"/>
            </w:tcMar>
          </w:tcPr>
          <w:p>
            <w:pPr>
              <w:spacing w:after="0" w:line="240" w:lineRule="auto"/>
            </w:pPr>
            <w:r>
              <w:rPr>
                <w:b w:val="0"/>
                <w:color w:val="000000"/>
                <w:sz w:val="19"/>
              </w:rPr>
              <w:t>0,93</w:t>
            </w:r>
          </w:p>
        </w:tc>
        <w:tc>
          <w:tcPr>
            <w:tcW w:type="dxa" w:w="2551"/>
            <w:vAlign w:val="center"/>
            <w:shd w:fill="F1F4F6"/>
            <w:tcMar>
              <w:top w:w="80" w:type="dxa"/>
              <w:bottom w:w="80" w:type="dxa"/>
              <w:left w:w="80" w:type="dxa"/>
              <w:right w:w="80" w:type="dxa"/>
            </w:tcMar>
          </w:tcPr>
          <w:p>
            <w:pPr>
              <w:spacing w:after="0" w:line="240" w:lineRule="auto"/>
            </w:pPr>
            <w:r>
              <w:rPr>
                <w:b w:val="0"/>
                <w:color w:val="000000"/>
                <w:sz w:val="19"/>
              </w:rPr>
              <w:t>0,87</w:t>
            </w:r>
          </w:p>
        </w:tc>
      </w:tr>
    </w:tbl>
    <w:p/>
    <w:p>
      <w:r>
        <w:t>CD por balance = (SI + EN) − SF. CD por ventas = Σ ventas realizadas. Son los dos cálculos presentes en los instrumentos; sus resultados no deben confundirse. La diferencia requiere saldos y movimientos verificables. En presencia de quiebres, las ventas observadas tampoco miden toda la demanda no atendida.</w:t>
      </w:r>
    </w:p>
    <w:p>
      <w:r>
        <w:t>El ISI conserva CD / (SI + EN), presentado como porcentaje. El total se calcula con las sumas de CD, SI y EN. TQS conserva (DQS / DD) × 100. El total usa 35 categoría-días; no representa 35 días calendario de la tienda ni exige que toda una categoría se haya agotado.</w:t>
      </w:r>
    </w:p>
    <w:p>
      <w:r>
        <w:t>Los saldos del programa son la primera y última fila disponible de cada producto dentro de la semana. En pretest, 107 de 167 productos no tienen fila al inicio y 107 al final; en postest, faltan esas filas en 111 y 101 de 169 productos. Se observan 31 y 23 diferencias entre saldos de registros sucesivos, respectivamente. Con días faltantes, no equivalen automáticamente a pérdidas, pero impiden afirmar que se cuenta con un kardex semanal completo.</w:t>
      </w:r>
    </w:p>
    <w:p>
      <w:r>
        <w:t>Estacionalidad: se comprobaron los 35 registros diarios de cada Word y los índices semanales. VPM se interpreta como promedio diario de agosto; VPR es su equivalente de siete días. Las operaciones coinciden. El docente debe confirmar esta definición operacional, porque “venta promedio mensual” puede interpretarse de otra manera. No se demuestra una estacionalidad recurrente con un único cociente frente a agosto.</w:t>
      </w:r>
    </w:p>
    <w:p>
      <w:r>
        <w:br w:type="page"/>
      </w:r>
    </w:p>
    <w:p>
      <w:pPr>
        <w:pStyle w:val="Heading1"/>
      </w:pPr>
      <w:r>
        <w:t>Qué se muestra en el programa</w:t>
      </w:r>
    </w:p>
    <w:p>
      <w:r>
        <w:t>El postest del 09 al 15/09/2026 se ejecutó y se visualizó en http://127.0.0.1:5000/. El panel confirma corte 08/09, horizonte siete días y 35 observaciones. El Excel descargado corresponde a esa ejecución y coincide en detalle diario, MAPE por categoría e indicadores de inventario.</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231"/>
        <w:gridCol w:w="6633"/>
      </w:tblGrid>
      <w:tr>
        <w:trPr>
          <w:cantSplit/>
          <w:tblHeader/>
        </w:trPr>
        <w:tc>
          <w:tcPr>
            <w:tcW w:type="dxa" w:w="3231"/>
            <w:vAlign w:val="center"/>
            <w:shd w:fill="193854"/>
            <w:tcMar>
              <w:top w:w="80" w:type="dxa"/>
              <w:bottom w:w="80" w:type="dxa"/>
              <w:left w:w="80" w:type="dxa"/>
              <w:right w:w="80" w:type="dxa"/>
            </w:tcMar>
          </w:tcPr>
          <w:p>
            <w:pPr>
              <w:spacing w:after="0" w:line="240" w:lineRule="auto"/>
            </w:pPr>
            <w:r>
              <w:rPr>
                <w:b/>
                <w:color w:val="FFFFFF"/>
                <w:sz w:val="19"/>
              </w:rPr>
              <w:t>Contenido del Word</w:t>
            </w:r>
          </w:p>
        </w:tc>
        <w:tc>
          <w:tcPr>
            <w:tcW w:type="dxa" w:w="6633"/>
            <w:vAlign w:val="center"/>
            <w:shd w:fill="193854"/>
            <w:tcMar>
              <w:top w:w="80" w:type="dxa"/>
              <w:bottom w:w="80" w:type="dxa"/>
              <w:left w:w="80" w:type="dxa"/>
              <w:right w:w="80" w:type="dxa"/>
            </w:tcMar>
          </w:tcPr>
          <w:p>
            <w:pPr>
              <w:spacing w:after="0" w:line="240" w:lineRule="auto"/>
            </w:pPr>
            <w:r>
              <w:rPr>
                <w:b/>
                <w:color w:val="FFFFFF"/>
                <w:sz w:val="19"/>
              </w:rPr>
              <w:t>Dónde comprobarlo</w:t>
            </w:r>
          </w:p>
        </w:tc>
      </w:tr>
      <w:tr>
        <w:trPr>
          <w:cantSplit/>
        </w:trPr>
        <w:tc>
          <w:tcPr>
            <w:tcW w:type="dxa" w:w="3231"/>
            <w:vAlign w:val="center"/>
            <w:shd w:fill="FFFFFF"/>
            <w:tcMar>
              <w:top w:w="80" w:type="dxa"/>
              <w:bottom w:w="80" w:type="dxa"/>
              <w:left w:w="80" w:type="dxa"/>
              <w:right w:w="80" w:type="dxa"/>
            </w:tcMar>
          </w:tcPr>
          <w:p>
            <w:pPr>
              <w:spacing w:after="0" w:line="240" w:lineRule="auto"/>
            </w:pPr>
            <w:r>
              <w:rPr>
                <w:b w:val="0"/>
                <w:color w:val="000000"/>
                <w:sz w:val="19"/>
              </w:rPr>
              <w:t>MAPE global 33,89 %</w:t>
            </w:r>
          </w:p>
        </w:tc>
        <w:tc>
          <w:tcPr>
            <w:tcW w:type="dxa" w:w="6633"/>
            <w:vAlign w:val="center"/>
            <w:shd w:fill="FFFFFF"/>
            <w:tcMar>
              <w:top w:w="80" w:type="dxa"/>
              <w:bottom w:w="80" w:type="dxa"/>
              <w:left w:w="80" w:type="dxa"/>
              <w:right w:w="80" w:type="dxa"/>
            </w:tcMar>
          </w:tcPr>
          <w:p>
            <w:pPr>
              <w:spacing w:after="0" w:line="240" w:lineRule="auto"/>
            </w:pPr>
            <w:r>
              <w:rPr>
                <w:b w:val="0"/>
                <w:color w:val="000000"/>
                <w:sz w:val="19"/>
              </w:rPr>
              <w:t>Resultado del postest → tarjeta Modelo predictivo → MAPE.</w:t>
            </w:r>
          </w:p>
        </w:tc>
      </w:tr>
      <w:tr>
        <w:trPr>
          <w:cantSplit/>
        </w:trPr>
        <w:tc>
          <w:tcPr>
            <w:tcW w:type="dxa" w:w="3231"/>
            <w:vAlign w:val="center"/>
            <w:shd w:fill="F1F4F6"/>
            <w:tcMar>
              <w:top w:w="80" w:type="dxa"/>
              <w:bottom w:w="80" w:type="dxa"/>
              <w:left w:w="80" w:type="dxa"/>
              <w:right w:w="80" w:type="dxa"/>
            </w:tcMar>
          </w:tcPr>
          <w:p>
            <w:pPr>
              <w:spacing w:after="0" w:line="240" w:lineRule="auto"/>
            </w:pPr>
            <w:r>
              <w:rPr>
                <w:b w:val="0"/>
                <w:color w:val="000000"/>
                <w:sz w:val="19"/>
              </w:rPr>
              <w:t>MAPE y ventas por categoría</w:t>
            </w:r>
          </w:p>
        </w:tc>
        <w:tc>
          <w:tcPr>
            <w:tcW w:type="dxa" w:w="6633"/>
            <w:vAlign w:val="center"/>
            <w:shd w:fill="F1F4F6"/>
            <w:tcMar>
              <w:top w:w="80" w:type="dxa"/>
              <w:bottom w:w="80" w:type="dxa"/>
              <w:left w:w="80" w:type="dxa"/>
              <w:right w:w="80" w:type="dxa"/>
            </w:tcMar>
          </w:tcPr>
          <w:p>
            <w:pPr>
              <w:spacing w:after="0" w:line="240" w:lineRule="auto"/>
            </w:pPr>
            <w:r>
              <w:rPr>
                <w:b w:val="0"/>
                <w:color w:val="000000"/>
                <w:sz w:val="19"/>
              </w:rPr>
              <w:t>Excel → Métricas categoría. La tabla visible del panel muestra WAPE por categoría, no MAPE.</w:t>
            </w:r>
          </w:p>
        </w:tc>
      </w:tr>
      <w:tr>
        <w:trPr>
          <w:cantSplit/>
        </w:trPr>
        <w:tc>
          <w:tcPr>
            <w:tcW w:type="dxa" w:w="3231"/>
            <w:vAlign w:val="center"/>
            <w:shd w:fill="FFFFFF"/>
            <w:tcMar>
              <w:top w:w="80" w:type="dxa"/>
              <w:bottom w:w="80" w:type="dxa"/>
              <w:left w:w="80" w:type="dxa"/>
              <w:right w:w="80" w:type="dxa"/>
            </w:tcMar>
          </w:tcPr>
          <w:p>
            <w:pPr>
              <w:spacing w:after="0" w:line="240" w:lineRule="auto"/>
            </w:pPr>
            <w:r>
              <w:rPr>
                <w:b w:val="0"/>
                <w:color w:val="000000"/>
                <w:sz w:val="19"/>
              </w:rPr>
              <w:t>Demanda real y pronosticada diaria</w:t>
            </w:r>
          </w:p>
        </w:tc>
        <w:tc>
          <w:tcPr>
            <w:tcW w:type="dxa" w:w="6633"/>
            <w:vAlign w:val="center"/>
            <w:shd w:fill="FFFFFF"/>
            <w:tcMar>
              <w:top w:w="80" w:type="dxa"/>
              <w:bottom w:w="80" w:type="dxa"/>
              <w:left w:w="80" w:type="dxa"/>
              <w:right w:w="80" w:type="dxa"/>
            </w:tcMar>
          </w:tcPr>
          <w:p>
            <w:pPr>
              <w:spacing w:after="0" w:line="240" w:lineRule="auto"/>
            </w:pPr>
            <w:r>
              <w:rPr>
                <w:b w:val="0"/>
                <w:color w:val="000000"/>
                <w:sz w:val="19"/>
              </w:rPr>
              <w:t>Excel → Detalle diario. La suma del modelo es 1931,38 y la suma real es 1671.</w:t>
            </w:r>
          </w:p>
        </w:tc>
      </w:tr>
      <w:tr>
        <w:trPr>
          <w:cantSplit/>
        </w:trPr>
        <w:tc>
          <w:tcPr>
            <w:tcW w:type="dxa" w:w="3231"/>
            <w:vAlign w:val="center"/>
            <w:shd w:fill="F1F4F6"/>
            <w:tcMar>
              <w:top w:w="80" w:type="dxa"/>
              <w:bottom w:w="80" w:type="dxa"/>
              <w:left w:w="80" w:type="dxa"/>
              <w:right w:w="80" w:type="dxa"/>
            </w:tcMar>
          </w:tcPr>
          <w:p>
            <w:pPr>
              <w:spacing w:after="0" w:line="240" w:lineRule="auto"/>
            </w:pPr>
            <w:r>
              <w:rPr>
                <w:b w:val="0"/>
                <w:color w:val="000000"/>
                <w:sz w:val="19"/>
              </w:rPr>
              <w:t>CD, ISI, DQS y TQS</w:t>
            </w:r>
          </w:p>
        </w:tc>
        <w:tc>
          <w:tcPr>
            <w:tcW w:type="dxa" w:w="6633"/>
            <w:vAlign w:val="center"/>
            <w:shd w:fill="F1F4F6"/>
            <w:tcMar>
              <w:top w:w="80" w:type="dxa"/>
              <w:bottom w:w="80" w:type="dxa"/>
              <w:left w:w="80" w:type="dxa"/>
              <w:right w:w="80" w:type="dxa"/>
            </w:tcMar>
          </w:tcPr>
          <w:p>
            <w:pPr>
              <w:spacing w:after="0" w:line="240" w:lineRule="auto"/>
            </w:pPr>
            <w:r>
              <w:rPr>
                <w:b w:val="0"/>
                <w:color w:val="000000"/>
                <w:sz w:val="19"/>
              </w:rPr>
              <w:t>Indicadores de inventario del período. SI, EN y SF se verifican también en la hoja Inventario del Excel.</w:t>
            </w:r>
          </w:p>
        </w:tc>
      </w:tr>
      <w:tr>
        <w:trPr>
          <w:cantSplit/>
        </w:trPr>
        <w:tc>
          <w:tcPr>
            <w:tcW w:type="dxa" w:w="3231"/>
            <w:vAlign w:val="center"/>
            <w:shd w:fill="FFFFFF"/>
            <w:tcMar>
              <w:top w:w="80" w:type="dxa"/>
              <w:bottom w:w="80" w:type="dxa"/>
              <w:left w:w="80" w:type="dxa"/>
              <w:right w:w="80" w:type="dxa"/>
            </w:tcMar>
          </w:tcPr>
          <w:p>
            <w:pPr>
              <w:spacing w:after="0" w:line="240" w:lineRule="auto"/>
            </w:pPr>
            <w:r>
              <w:rPr>
                <w:b w:val="0"/>
                <w:color w:val="000000"/>
                <w:sz w:val="19"/>
              </w:rPr>
              <w:t>IE diario y semanal</w:t>
            </w:r>
          </w:p>
        </w:tc>
        <w:tc>
          <w:tcPr>
            <w:tcW w:type="dxa" w:w="6633"/>
            <w:vAlign w:val="center"/>
            <w:shd w:fill="FFFFFF"/>
            <w:tcMar>
              <w:top w:w="80" w:type="dxa"/>
              <w:bottom w:w="80" w:type="dxa"/>
              <w:left w:w="80" w:type="dxa"/>
              <w:right w:w="80" w:type="dxa"/>
            </w:tcMar>
          </w:tcPr>
          <w:p>
            <w:pPr>
              <w:spacing w:after="0" w:line="240" w:lineRule="auto"/>
            </w:pPr>
            <w:r>
              <w:rPr>
                <w:b w:val="0"/>
                <w:color w:val="000000"/>
                <w:sz w:val="19"/>
              </w:rPr>
              <w:t>Se calcula en las fichas desde el historial. El panel y esta exportación no muestran actualmente un indicador IE.</w:t>
            </w:r>
          </w:p>
        </w:tc>
      </w:tr>
      <w:tr>
        <w:trPr>
          <w:cantSplit/>
        </w:trPr>
        <w:tc>
          <w:tcPr>
            <w:tcW w:type="dxa" w:w="3231"/>
            <w:vAlign w:val="center"/>
            <w:shd w:fill="F1F4F6"/>
            <w:tcMar>
              <w:top w:w="80" w:type="dxa"/>
              <w:bottom w:w="80" w:type="dxa"/>
              <w:left w:w="80" w:type="dxa"/>
              <w:right w:w="80" w:type="dxa"/>
            </w:tcMar>
          </w:tcPr>
          <w:p>
            <w:pPr>
              <w:spacing w:after="0" w:line="240" w:lineRule="auto"/>
            </w:pPr>
            <w:r>
              <w:rPr>
                <w:b w:val="0"/>
                <w:color w:val="000000"/>
                <w:sz w:val="19"/>
              </w:rPr>
              <w:t>Pretest 02–08/09</w:t>
            </w:r>
          </w:p>
        </w:tc>
        <w:tc>
          <w:tcPr>
            <w:tcW w:type="dxa" w:w="6633"/>
            <w:vAlign w:val="center"/>
            <w:shd w:fill="F1F4F6"/>
            <w:tcMar>
              <w:top w:w="80" w:type="dxa"/>
              <w:bottom w:w="80" w:type="dxa"/>
              <w:left w:w="80" w:type="dxa"/>
              <w:right w:w="80" w:type="dxa"/>
            </w:tcMar>
          </w:tcPr>
          <w:p>
            <w:pPr>
              <w:spacing w:after="0" w:line="240" w:lineRule="auto"/>
            </w:pPr>
            <w:r>
              <w:rPr>
                <w:b w:val="0"/>
                <w:color w:val="000000"/>
                <w:sz w:val="19"/>
              </w:rPr>
              <w:t>Word y cálculo independiente sobre reportes e historial. No existe una ficha específica de pretest en este panel.</w:t>
            </w:r>
          </w:p>
        </w:tc>
      </w:tr>
    </w:tbl>
    <w:p/>
    <w:p>
      <w:r>
        <w:t>Para reproducirlo: elegir horizonte 7 días; ingresar 08/09/2026 en Corte de prueba; pulsar Ejecutar Postest; comprobar 09–15/09; pulsar Descargar Postest. No tomar el resumen de todo el inventario de abril a septiembre como resultado de esta semana.</w:t>
      </w:r>
    </w:p>
    <w:p>
      <w:r>
        <w:t>El programa sigue mostrando métricas adicionales y utiliza WAPE para su comparación y selección interna. Las fichas solicitadas conservan MAPE. La tesis indica seleccionar por MAPE: esa diferencia entre metodología y programa debe resolverse y documentarse antes de la evaluación final; ocultar columnas no cambia el criterio del modelo.</w:t>
      </w:r>
    </w:p>
    <w:p>
      <w:r>
        <w:drawing>
          <wp:inline xmlns:a="http://schemas.openxmlformats.org/drawingml/2006/main" xmlns:pic="http://schemas.openxmlformats.org/drawingml/2006/picture">
            <wp:extent cx="6156000" cy="3464879"/>
            <wp:docPr id="1" name="Picture 1"/>
            <wp:cNvGraphicFramePr>
              <a:graphicFrameLocks noChangeAspect="1"/>
            </wp:cNvGraphicFramePr>
            <a:graphic>
              <a:graphicData uri="http://schemas.openxmlformats.org/drawingml/2006/picture">
                <pic:pic>
                  <pic:nvPicPr>
                    <pic:cNvPr id="0" name="Resultado_postest_programa.png"/>
                    <pic:cNvPicPr/>
                  </pic:nvPicPr>
                  <pic:blipFill>
                    <a:blip r:embed="rId9"/>
                    <a:stretch>
                      <a:fillRect/>
                    </a:stretch>
                  </pic:blipFill>
                  <pic:spPr>
                    <a:xfrm>
                      <a:off x="0" y="0"/>
                      <a:ext cx="6156000" cy="3464879"/>
                    </a:xfrm>
                    <a:prstGeom prst="rect"/>
                  </pic:spPr>
                </pic:pic>
              </a:graphicData>
            </a:graphic>
          </wp:inline>
        </w:drawing>
      </w:r>
    </w:p>
    <w:p>
      <w:r>
        <w:br w:type="page"/>
      </w:r>
    </w:p>
    <w:p>
      <w:pPr>
        <w:pStyle w:val="Heading1"/>
      </w:pPr>
      <w:r>
        <w:t>Observaciones para la revisión académica</w:t>
      </w:r>
    </w:p>
    <w:p>
      <w:r>
        <w:t>1. Naturaleza del estudio. Las fichas actuales son una evaluación histórica. Para presentarlas como antes y después de una intervención, falta documentar la fecha real de implementación, el procedimiento anterior y la manera en que se utilizaron los pronósticos. La respuesta a esta consulta sigue pendiente al cerrar la revisión.</w:t>
      </w:r>
    </w:p>
    <w:p>
      <w:r>
        <w:t>2. Origen del inventario. El propio programa identifica el archivo como demostración y “no apto para evidencia”. Para resultados de negocio deben sustituirse los saldos y días de quiebre por registros validados y conservar los resultados de demostración como tales. No procede ajustar cifras para obtener una mejora.</w:t>
      </w:r>
    </w:p>
    <w:p>
      <w:r>
        <w:t>3. Alcance declarado. La tesis original propone abril–diciembre de 2026, aproximadamente 8500 transacciones, 320 productos y diez categorías. Lo disponible llega al 15/09, con 203 productos de catálogo y cinco categorías. Debe distinguirse lo planificado de lo recolectado; septiembre no permite certificar resultados de diciembre.</w:t>
      </w:r>
    </w:p>
    <w:p>
      <w:r>
        <w:t>4. Métodos y métricas. Los anexos de error de pronóstico contienen MAPE. Sin embargo, la hipótesis y el análisis estadístico de la tesis también nombran MAE y RMSE. Se respeta la instrucción de mantener solo MAPE en las fichas; corresponde armonizar el texto metodológico con el docente. Los modelos propuestos incluyen ARIMA, Random Forest, CatBoost y XGBoost; esta ruta del programa compara Random Forest y promedio estacional.</w:t>
      </w:r>
    </w:p>
    <w:p>
      <w:r>
        <w:t>5. Validación. El panel ejecuta un corte histórico externo y una partición interna cronológica 80/20. Eso no documenta por sí solo múltiples cortes de validación hacia adelante. El Random Forest seleccionado se conserva sin reajustarlo con todo el tramo previo al corte. La selección interna se evalúa con rezagos observados y el pronóstico externo es recursivo de siete días. Estas decisiones deben estar justificadas; si se cambian, hay que generar y conservar una nueva evaluación.</w:t>
      </w:r>
    </w:p>
    <w:p>
      <w:r>
        <w:t>6. Interpretación. Siete días pueden formar una ventana de evaluación, pero no justifican por sí solos el tamaño de muestra ni una mejora estadísticamente significativa. No se encontró un contraste inferencial para estas fichas. Los 35 registros comparten fechas y categorías; no debe suponerse independencia sin examinarla.</w:t>
      </w:r>
    </w:p>
    <w:p>
      <w:r>
        <w:t>7. Integridad y acceso a datos. Para la revisión ética conviene presentar autorización de uso de la información comercial, procedencia verificable, responsable de custodia y medidas de confidencialidad. Esos documentos no se acreditaron en esta revisión. Los requisitos específicos los establece el comité de la institución; esta comprobación no los sustituye.</w:t>
      </w:r>
    </w:p>
    <w:p>
      <w:r>
        <w:t>Conclusión para el docente: las operaciones están verificadas; permanecen pendientes la fuente real de inventario, la definición del antes y después y la coherencia entre protocolo, fichas y programa. Los resultados actuales no prueban la mejora planteada.</w:t>
      </w:r>
    </w:p>
    <w:p>
      <w:r>
        <w:br w:type="page"/>
      </w:r>
    </w:p>
    <w:p>
      <w:pPr>
        <w:pStyle w:val="Heading1"/>
      </w:pPr>
      <w:r>
        <w:t>Cómo reproducir y conservar la verificación</w:t>
      </w:r>
    </w:p>
    <w:p>
      <w:pPr>
        <w:pStyle w:val="Heading2"/>
      </w:pPr>
      <w:r>
        <w:t>Ejemplos con las fórmulas originales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402"/>
        <w:gridCol w:w="6463"/>
      </w:tblGrid>
      <w:tr>
        <w:trPr>
          <w:cantSplit/>
          <w:tblHeader/>
        </w:trPr>
        <w:tc>
          <w:tcPr>
            <w:tcW w:type="dxa" w:w="3402"/>
            <w:vAlign w:val="center"/>
            <w:shd w:fill="193854"/>
            <w:tcMar>
              <w:top w:w="80" w:type="dxa"/>
              <w:bottom w:w="80" w:type="dxa"/>
              <w:left w:w="80" w:type="dxa"/>
              <w:right w:w="80" w:type="dxa"/>
            </w:tcMar>
          </w:tcPr>
          <w:p>
            <w:pPr>
              <w:spacing w:after="0" w:line="240" w:lineRule="auto"/>
            </w:pPr>
            <w:r>
              <w:rPr>
                <w:b/>
                <w:color w:val="FFFFFF"/>
                <w:sz w:val="19"/>
              </w:rPr>
              <w:t>Cálculo</w:t>
            </w:r>
          </w:p>
        </w:tc>
        <w:tc>
          <w:tcPr>
            <w:tcW w:type="dxa" w:w="6463"/>
            <w:vAlign w:val="center"/>
            <w:shd w:fill="193854"/>
            <w:tcMar>
              <w:top w:w="80" w:type="dxa"/>
              <w:bottom w:w="80" w:type="dxa"/>
              <w:left w:w="80" w:type="dxa"/>
              <w:right w:w="80" w:type="dxa"/>
            </w:tcMar>
          </w:tcPr>
          <w:p>
            <w:pPr>
              <w:spacing w:after="0" w:line="240" w:lineRule="auto"/>
            </w:pPr>
            <w:r>
              <w:rPr>
                <w:b/>
                <w:color w:val="FFFFFF"/>
                <w:sz w:val="19"/>
              </w:rPr>
              <w:t>Sustitución y resultado</w:t>
            </w:r>
          </w:p>
        </w:tc>
      </w:tr>
      <w:tr>
        <w:trPr>
          <w:cantSplit/>
        </w:trPr>
        <w:tc>
          <w:tcPr>
            <w:tcW w:type="dxa" w:w="3402"/>
            <w:vAlign w:val="center"/>
            <w:shd w:fill="FFFFFF"/>
            <w:tcMar>
              <w:top w:w="80" w:type="dxa"/>
              <w:bottom w:w="80" w:type="dxa"/>
              <w:left w:w="80" w:type="dxa"/>
              <w:right w:w="80" w:type="dxa"/>
            </w:tcMar>
          </w:tcPr>
          <w:p>
            <w:pPr>
              <w:spacing w:after="0" w:line="240" w:lineRule="auto"/>
            </w:pPr>
            <w:r>
              <w:rPr>
                <w:b w:val="0"/>
                <w:color w:val="000000"/>
                <w:sz w:val="19"/>
              </w:rPr>
              <w:t>CD pretest ABARROTES</w:t>
            </w:r>
          </w:p>
        </w:tc>
        <w:tc>
          <w:tcPr>
            <w:tcW w:type="dxa" w:w="6463"/>
            <w:vAlign w:val="center"/>
            <w:shd w:fill="FFFFFF"/>
            <w:tcMar>
              <w:top w:w="80" w:type="dxa"/>
              <w:bottom w:w="80" w:type="dxa"/>
              <w:left w:w="80" w:type="dxa"/>
              <w:right w:w="80" w:type="dxa"/>
            </w:tcMar>
          </w:tcPr>
          <w:p>
            <w:pPr>
              <w:spacing w:after="0" w:line="240" w:lineRule="auto"/>
            </w:pPr>
            <w:r>
              <w:rPr>
                <w:b w:val="0"/>
                <w:color w:val="000000"/>
                <w:sz w:val="19"/>
              </w:rPr>
              <w:t>(372 + 189) − 316 = 245 unidades.</w:t>
            </w:r>
          </w:p>
        </w:tc>
      </w:tr>
      <w:tr>
        <w:trPr>
          <w:cantSplit/>
        </w:trPr>
        <w:tc>
          <w:tcPr>
            <w:tcW w:type="dxa" w:w="3402"/>
            <w:vAlign w:val="center"/>
            <w:shd w:fill="F1F4F6"/>
            <w:tcMar>
              <w:top w:w="80" w:type="dxa"/>
              <w:bottom w:w="80" w:type="dxa"/>
              <w:left w:w="80" w:type="dxa"/>
              <w:right w:w="80" w:type="dxa"/>
            </w:tcMar>
          </w:tcPr>
          <w:p>
            <w:pPr>
              <w:spacing w:after="0" w:line="240" w:lineRule="auto"/>
            </w:pPr>
            <w:r>
              <w:rPr>
                <w:b w:val="0"/>
                <w:color w:val="000000"/>
                <w:sz w:val="19"/>
              </w:rPr>
              <w:t>CD postest ABARROTES</w:t>
            </w:r>
          </w:p>
        </w:tc>
        <w:tc>
          <w:tcPr>
            <w:tcW w:type="dxa" w:w="6463"/>
            <w:vAlign w:val="center"/>
            <w:shd w:fill="F1F4F6"/>
            <w:tcMar>
              <w:top w:w="80" w:type="dxa"/>
              <w:bottom w:w="80" w:type="dxa"/>
              <w:left w:w="80" w:type="dxa"/>
              <w:right w:w="80" w:type="dxa"/>
            </w:tcMar>
          </w:tcPr>
          <w:p>
            <w:pPr>
              <w:spacing w:after="0" w:line="240" w:lineRule="auto"/>
            </w:pPr>
            <w:r>
              <w:rPr>
                <w:b w:val="0"/>
                <w:color w:val="000000"/>
                <w:sz w:val="19"/>
              </w:rPr>
              <w:t>(383 + 175) − 276 = 282 unidades.</w:t>
            </w:r>
          </w:p>
        </w:tc>
      </w:tr>
      <w:tr>
        <w:trPr>
          <w:cantSplit/>
        </w:trPr>
        <w:tc>
          <w:tcPr>
            <w:tcW w:type="dxa" w:w="3402"/>
            <w:vAlign w:val="center"/>
            <w:shd w:fill="FFFFFF"/>
            <w:tcMar>
              <w:top w:w="80" w:type="dxa"/>
              <w:bottom w:w="80" w:type="dxa"/>
              <w:left w:w="80" w:type="dxa"/>
              <w:right w:w="80" w:type="dxa"/>
            </w:tcMar>
          </w:tcPr>
          <w:p>
            <w:pPr>
              <w:spacing w:after="0" w:line="240" w:lineRule="auto"/>
            </w:pPr>
            <w:r>
              <w:rPr>
                <w:b w:val="0"/>
                <w:color w:val="000000"/>
                <w:sz w:val="19"/>
              </w:rPr>
              <w:t>ISI postest ABARROTES</w:t>
            </w:r>
          </w:p>
        </w:tc>
        <w:tc>
          <w:tcPr>
            <w:tcW w:type="dxa" w:w="6463"/>
            <w:vAlign w:val="center"/>
            <w:shd w:fill="FFFFFF"/>
            <w:tcMar>
              <w:top w:w="80" w:type="dxa"/>
              <w:bottom w:w="80" w:type="dxa"/>
              <w:left w:w="80" w:type="dxa"/>
              <w:right w:w="80" w:type="dxa"/>
            </w:tcMar>
          </w:tcPr>
          <w:p>
            <w:pPr>
              <w:spacing w:after="0" w:line="240" w:lineRule="auto"/>
            </w:pPr>
            <w:r>
              <w:rPr>
                <w:b w:val="0"/>
                <w:color w:val="000000"/>
                <w:sz w:val="19"/>
              </w:rPr>
              <w:t>282 / (383 + 175) = 0,505376… = 50,54 %.</w:t>
            </w:r>
          </w:p>
        </w:tc>
      </w:tr>
      <w:tr>
        <w:trPr>
          <w:cantSplit/>
        </w:trPr>
        <w:tc>
          <w:tcPr>
            <w:tcW w:type="dxa" w:w="3402"/>
            <w:vAlign w:val="center"/>
            <w:shd w:fill="F1F4F6"/>
            <w:tcMar>
              <w:top w:w="80" w:type="dxa"/>
              <w:bottom w:w="80" w:type="dxa"/>
              <w:left w:w="80" w:type="dxa"/>
              <w:right w:w="80" w:type="dxa"/>
            </w:tcMar>
          </w:tcPr>
          <w:p>
            <w:pPr>
              <w:spacing w:after="0" w:line="240" w:lineRule="auto"/>
            </w:pPr>
            <w:r>
              <w:rPr>
                <w:b w:val="0"/>
                <w:color w:val="000000"/>
                <w:sz w:val="19"/>
              </w:rPr>
              <w:t>TQS postest GOLOSINAS</w:t>
            </w:r>
          </w:p>
        </w:tc>
        <w:tc>
          <w:tcPr>
            <w:tcW w:type="dxa" w:w="6463"/>
            <w:vAlign w:val="center"/>
            <w:shd w:fill="F1F4F6"/>
            <w:tcMar>
              <w:top w:w="80" w:type="dxa"/>
              <w:bottom w:w="80" w:type="dxa"/>
              <w:left w:w="80" w:type="dxa"/>
              <w:right w:w="80" w:type="dxa"/>
            </w:tcMar>
          </w:tcPr>
          <w:p>
            <w:pPr>
              <w:spacing w:after="0" w:line="240" w:lineRule="auto"/>
            </w:pPr>
            <w:r>
              <w:rPr>
                <w:b w:val="0"/>
                <w:color w:val="000000"/>
                <w:sz w:val="19"/>
              </w:rPr>
              <w:t>(2 / 7) × 100 = 28,57 %.</w:t>
            </w:r>
          </w:p>
        </w:tc>
      </w:tr>
      <w:tr>
        <w:trPr>
          <w:cantSplit/>
        </w:trPr>
        <w:tc>
          <w:tcPr>
            <w:tcW w:type="dxa" w:w="3402"/>
            <w:vAlign w:val="center"/>
            <w:shd w:fill="FFFFFF"/>
            <w:tcMar>
              <w:top w:w="80" w:type="dxa"/>
              <w:bottom w:w="80" w:type="dxa"/>
              <w:left w:w="80" w:type="dxa"/>
              <w:right w:w="80" w:type="dxa"/>
            </w:tcMar>
          </w:tcPr>
          <w:p>
            <w:pPr>
              <w:spacing w:after="0" w:line="240" w:lineRule="auto"/>
            </w:pPr>
            <w:r>
              <w:rPr>
                <w:b w:val="0"/>
                <w:color w:val="000000"/>
                <w:sz w:val="19"/>
              </w:rPr>
              <w:t>Volumen postest</w:t>
            </w:r>
          </w:p>
        </w:tc>
        <w:tc>
          <w:tcPr>
            <w:tcW w:type="dxa" w:w="6463"/>
            <w:vAlign w:val="center"/>
            <w:shd w:fill="FFFFFF"/>
            <w:tcMar>
              <w:top w:w="80" w:type="dxa"/>
              <w:bottom w:w="80" w:type="dxa"/>
              <w:left w:w="80" w:type="dxa"/>
              <w:right w:w="80" w:type="dxa"/>
            </w:tcMar>
          </w:tcPr>
          <w:p>
            <w:pPr>
              <w:spacing w:after="0" w:line="240" w:lineRule="auto"/>
            </w:pPr>
            <w:r>
              <w:rPr>
                <w:b w:val="0"/>
                <w:color w:val="000000"/>
                <w:sz w:val="19"/>
              </w:rPr>
              <w:t>330 + 611 + 496 + 146 + 88 = 1671 unidades.</w:t>
            </w:r>
          </w:p>
        </w:tc>
      </w:tr>
      <w:tr>
        <w:trPr>
          <w:cantSplit/>
        </w:trPr>
        <w:tc>
          <w:tcPr>
            <w:tcW w:type="dxa" w:w="3402"/>
            <w:vAlign w:val="center"/>
            <w:shd w:fill="F1F4F6"/>
            <w:tcMar>
              <w:top w:w="80" w:type="dxa"/>
              <w:bottom w:w="80" w:type="dxa"/>
              <w:left w:w="80" w:type="dxa"/>
              <w:right w:w="80" w:type="dxa"/>
            </w:tcMar>
          </w:tcPr>
          <w:p>
            <w:pPr>
              <w:spacing w:after="0" w:line="240" w:lineRule="auto"/>
            </w:pPr>
            <w:r>
              <w:rPr>
                <w:b w:val="0"/>
                <w:color w:val="000000"/>
                <w:sz w:val="19"/>
              </w:rPr>
              <w:t>IE diario postest ABARROTES 09/09</w:t>
            </w:r>
          </w:p>
        </w:tc>
        <w:tc>
          <w:tcPr>
            <w:tcW w:type="dxa" w:w="6463"/>
            <w:vAlign w:val="center"/>
            <w:shd w:fill="F1F4F6"/>
            <w:tcMar>
              <w:top w:w="80" w:type="dxa"/>
              <w:bottom w:w="80" w:type="dxa"/>
              <w:left w:w="80" w:type="dxa"/>
              <w:right w:w="80" w:type="dxa"/>
            </w:tcMar>
          </w:tcPr>
          <w:p>
            <w:pPr>
              <w:spacing w:after="0" w:line="240" w:lineRule="auto"/>
            </w:pPr>
            <w:r>
              <w:rPr>
                <w:b w:val="0"/>
                <w:color w:val="000000"/>
                <w:sz w:val="19"/>
              </w:rPr>
              <w:t>31 / (1748 / 31) = 0,55, redondeado.</w:t>
            </w:r>
          </w:p>
        </w:tc>
      </w:tr>
      <w:tr>
        <w:trPr>
          <w:cantSplit/>
        </w:trPr>
        <w:tc>
          <w:tcPr>
            <w:tcW w:type="dxa" w:w="3402"/>
            <w:vAlign w:val="center"/>
            <w:shd w:fill="FFFFFF"/>
            <w:tcMar>
              <w:top w:w="80" w:type="dxa"/>
              <w:bottom w:w="80" w:type="dxa"/>
              <w:left w:w="80" w:type="dxa"/>
              <w:right w:w="80" w:type="dxa"/>
            </w:tcMar>
          </w:tcPr>
          <w:p>
            <w:pPr>
              <w:spacing w:after="0" w:line="240" w:lineRule="auto"/>
            </w:pPr>
            <w:r>
              <w:rPr>
                <w:b w:val="0"/>
                <w:color w:val="000000"/>
                <w:sz w:val="19"/>
              </w:rPr>
              <w:t>IE semanal postest ABARROTES</w:t>
            </w:r>
          </w:p>
        </w:tc>
        <w:tc>
          <w:tcPr>
            <w:tcW w:type="dxa" w:w="6463"/>
            <w:vAlign w:val="center"/>
            <w:shd w:fill="FFFFFF"/>
            <w:tcMar>
              <w:top w:w="80" w:type="dxa"/>
              <w:bottom w:w="80" w:type="dxa"/>
              <w:left w:w="80" w:type="dxa"/>
              <w:right w:w="80" w:type="dxa"/>
            </w:tcMar>
          </w:tcPr>
          <w:p>
            <w:pPr>
              <w:spacing w:after="0" w:line="240" w:lineRule="auto"/>
            </w:pPr>
            <w:r>
              <w:rPr>
                <w:b w:val="0"/>
                <w:color w:val="000000"/>
                <w:sz w:val="19"/>
              </w:rPr>
              <w:t>330 / [(1748 / 31) × 7] = 0,84, redondeado.</w:t>
            </w:r>
          </w:p>
        </w:tc>
      </w:tr>
      <w:tr>
        <w:trPr>
          <w:cantSplit/>
        </w:trPr>
        <w:tc>
          <w:tcPr>
            <w:tcW w:type="dxa" w:w="3402"/>
            <w:vAlign w:val="center"/>
            <w:shd w:fill="F1F4F6"/>
            <w:tcMar>
              <w:top w:w="80" w:type="dxa"/>
              <w:bottom w:w="80" w:type="dxa"/>
              <w:left w:w="80" w:type="dxa"/>
              <w:right w:w="80" w:type="dxa"/>
            </w:tcMar>
          </w:tcPr>
          <w:p>
            <w:pPr>
              <w:spacing w:after="0" w:line="240" w:lineRule="auto"/>
            </w:pPr>
            <w:r>
              <w:rPr>
                <w:b w:val="0"/>
                <w:color w:val="000000"/>
                <w:sz w:val="19"/>
              </w:rPr>
              <w:t>MAPE postest ABARROTES</w:t>
            </w:r>
          </w:p>
        </w:tc>
        <w:tc>
          <w:tcPr>
            <w:tcW w:type="dxa" w:w="6463"/>
            <w:vAlign w:val="center"/>
            <w:shd w:fill="F1F4F6"/>
            <w:tcMar>
              <w:top w:w="80" w:type="dxa"/>
              <w:bottom w:w="80" w:type="dxa"/>
              <w:left w:w="80" w:type="dxa"/>
              <w:right w:w="80" w:type="dxa"/>
            </w:tcMar>
          </w:tcPr>
          <w:p>
            <w:pPr>
              <w:spacing w:after="0" w:line="240" w:lineRule="auto"/>
            </w:pPr>
            <w:r>
              <w:rPr>
                <w:b w:val="0"/>
                <w:color w:val="000000"/>
                <w:sz w:val="19"/>
              </w:rPr>
              <w:t>Promediar los siete errores porcentuales absolutos diarios da 39,51 %. El del 09/09 es |(31 − 47,75) / 31| × 100 = 54,03 %; un solo día no es el promedio semanal.</w:t>
            </w:r>
          </w:p>
        </w:tc>
      </w:tr>
    </w:tbl>
    <w:p/>
    <w:p>
      <w:pPr>
        <w:pStyle w:val="Heading2"/>
      </w:pPr>
      <w:r>
        <w:t>Archivos conservados</w:t>
      </w:r>
    </w:p>
    <w:p>
      <w:r>
        <w:t>En outputs/verificacion_pretest_postest: Postest_exportado_programa.xlsx; detalle_diario.csv con las 70 parejas diarias y sus errores; comprobaciones.csv con 715 verificaciones; verificacion_calculos.json; fuentes_sha256.json con la identificación de los documentos y fuentes; y la captura del programa. Las huellas permiten detectar cambios posteriores, no certificar autenticidad.</w:t>
      </w:r>
    </w:p>
    <w:p>
      <w:r>
        <w:t>Ejecución comprobada: postest_20260930t012523z_20260908_7d_057d74c6. Fecha local: 29/09/2026, 20:25:23, Lima. El identificador usa UTC y por eso contiene la fecha 30/09/2026. Los Word conservan como fuente el resultado del 27/09, cuyas predicciones se reprodujeron exactamente.</w:t>
      </w:r>
    </w:p>
    <w:p>
      <w:pPr>
        <w:pStyle w:val="Heading2"/>
      </w:pPr>
      <w:r>
        <w:t>Fuentes de la revisión</w:t>
      </w:r>
    </w:p>
    <w:p>
      <w:r>
        <w:t>Pretest_corregido.docx; Postest_corregido.docx; LIMA-NORTE_PI_GURRERRO.docx; 168 reportes diarios; catalogo_maestro.xlsx; historial_demanda.csv; inventario demostrativo y código de cálculo y exportación. El archivo Informe de tesis (1).docx no se usó como sustituto de la tesis original indicada por el investigador.</w:t>
      </w:r>
    </w:p>
    <w:p>
      <w:r>
        <w:t>Referencia metodológica: Hyndman y Athanasopoulos, Forecasting: Principles and Practice, 3.ª edición, secciones 5.8 y 5.10. Fundamentan evaluar con observaciones no utilizadas en el ajuste y respetar el orden temporal. Consultadas el 29/09/2026.</w:t>
      </w:r>
    </w:p>
    <w:p>
      <w:r>
        <w:t>https://otexts.com/fpp3/accuracy.html</w:t>
        <w:br/>
        <w:t>https://otexts.com/fpp3/tscv.html</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4"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5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54"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Verificación del pretest y postest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