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rial" w:hAnsi="Arial"/>
          <w:b/>
          <w:color w:val="000000"/>
          <w:sz w:val="32"/>
        </w:rPr>
        <w:t>Anexo 2 Instrumentos de recolección de datos</w:t>
      </w:r>
    </w:p>
    <w:p>
      <w:pPr>
        <w:spacing w:before="0" w:after="160" w:line="276" w:lineRule="auto"/>
        <w:jc w:val="both"/>
      </w:pPr>
      <w:r>
        <w:rPr>
          <w:rFonts w:ascii="Arial" w:hAnsi="Arial"/>
          <w:b w:val="0"/>
          <w:i w:val="0"/>
          <w:color w:val="000000"/>
          <w:sz w:val="21"/>
        </w:rPr>
        <w:t>Este anexo presenta los ocho instrumentos definidos en la tesis para el pretest. Las cifras de ventas y estacionalidad corresponden al historial procesado entre el 1 de abril y el 15 de septiembre de 2026.</w:t>
      </w:r>
    </w:p>
    <w:p>
      <w:pPr>
        <w:pStyle w:val="Heading1"/>
        <w:keepNext/>
        <w:spacing w:before="80" w:after="140"/>
      </w:pPr>
      <w:r>
        <w:rPr>
          <w:rFonts w:ascii="Arial" w:hAnsi="Arial"/>
          <w:b/>
          <w:color w:val="000000"/>
          <w:sz w:val="26"/>
        </w:rPr>
        <w:t>Relación de instrumentos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N</w:t>
            </w:r>
          </w:p>
        </w:tc>
        <w:tc>
          <w:tcPr>
            <w:tcW w:type="dxa" w:w="388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Instrumento</w:t>
            </w:r>
          </w:p>
        </w:tc>
        <w:tc>
          <w:tcPr>
            <w:tcW w:type="dxa" w:w="115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Momento</w:t>
            </w:r>
          </w:p>
        </w:tc>
        <w:tc>
          <w:tcPr>
            <w:tcW w:type="dxa" w:w="432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Estado de datos</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1</w:t>
            </w:r>
          </w:p>
        </w:tc>
        <w:tc>
          <w:tcPr>
            <w:tcW w:type="dxa" w:w="388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Cantidad demandada mediante inventario</w:t>
            </w:r>
          </w:p>
        </w:tc>
        <w:tc>
          <w:tcPr>
            <w:tcW w:type="dxa" w:w="115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Pretest</w:t>
            </w:r>
          </w:p>
        </w:tc>
        <w:tc>
          <w:tcPr>
            <w:tcW w:type="dxa" w:w="432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Cantidad demandada disponible. Stock real pendiente.</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2</w:t>
            </w:r>
          </w:p>
        </w:tc>
        <w:tc>
          <w:tcPr>
            <w:tcW w:type="dxa" w:w="388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Índice de salida de inventario</w:t>
            </w:r>
          </w:p>
        </w:tc>
        <w:tc>
          <w:tcPr>
            <w:tcW w:type="dxa" w:w="115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Pretest</w:t>
            </w:r>
          </w:p>
        </w:tc>
        <w:tc>
          <w:tcPr>
            <w:tcW w:type="dxa" w:w="432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Pendiente de kardex real.</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3</w:t>
            </w:r>
          </w:p>
        </w:tc>
        <w:tc>
          <w:tcPr>
            <w:tcW w:type="dxa" w:w="388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Tasa de quiebre de stock</w:t>
            </w:r>
          </w:p>
        </w:tc>
        <w:tc>
          <w:tcPr>
            <w:tcW w:type="dxa" w:w="115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Pretest</w:t>
            </w:r>
          </w:p>
        </w:tc>
        <w:tc>
          <w:tcPr>
            <w:tcW w:type="dxa" w:w="432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Pendiente de registro real de agotados.</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4</w:t>
            </w:r>
          </w:p>
        </w:tc>
        <w:tc>
          <w:tcPr>
            <w:tcW w:type="dxa" w:w="388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Estacionalidad diaria</w:t>
            </w:r>
          </w:p>
        </w:tc>
        <w:tc>
          <w:tcPr>
            <w:tcW w:type="dxa" w:w="115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Pretest</w:t>
            </w:r>
          </w:p>
        </w:tc>
        <w:tc>
          <w:tcPr>
            <w:tcW w:type="dxa" w:w="432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Disponible desde ventas reales.</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5</w:t>
            </w:r>
          </w:p>
        </w:tc>
        <w:tc>
          <w:tcPr>
            <w:tcW w:type="dxa" w:w="388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Error de pronóstico</w:t>
            </w:r>
          </w:p>
        </w:tc>
        <w:tc>
          <w:tcPr>
            <w:tcW w:type="dxa" w:w="115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Pretest</w:t>
            </w:r>
          </w:p>
        </w:tc>
        <w:tc>
          <w:tcPr>
            <w:tcW w:type="dxa" w:w="432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Requiere pares de demanda real y pronosticada.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6</w:t>
            </w:r>
          </w:p>
        </w:tc>
        <w:tc>
          <w:tcPr>
            <w:tcW w:type="dxa" w:w="388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Volumen de demanda mediante ventas</w:t>
            </w:r>
          </w:p>
        </w:tc>
        <w:tc>
          <w:tcPr>
            <w:tcW w:type="dxa" w:w="115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Pretest</w:t>
            </w:r>
          </w:p>
        </w:tc>
        <w:tc>
          <w:tcPr>
            <w:tcW w:type="dxa" w:w="432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Disponible desde ventas reales.</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7</w:t>
            </w:r>
          </w:p>
        </w:tc>
        <w:tc>
          <w:tcPr>
            <w:tcW w:type="dxa" w:w="388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Patrón de demanda estacional</w:t>
            </w:r>
          </w:p>
        </w:tc>
        <w:tc>
          <w:tcPr>
            <w:tcW w:type="dxa" w:w="115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Pretest</w:t>
            </w:r>
          </w:p>
        </w:tc>
        <w:tc>
          <w:tcPr>
            <w:tcW w:type="dxa" w:w="432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Disponible desde ventas reales.</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8</w:t>
            </w:r>
          </w:p>
        </w:tc>
        <w:tc>
          <w:tcPr>
            <w:tcW w:type="dxa" w:w="388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Precisión del pronóstico</w:t>
            </w:r>
          </w:p>
        </w:tc>
        <w:tc>
          <w:tcPr>
            <w:tcW w:type="dxa" w:w="115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Pretest</w:t>
            </w:r>
          </w:p>
        </w:tc>
        <w:tc>
          <w:tcPr>
            <w:tcW w:type="dxa" w:w="432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Requiere pares de demanda real y pronosticada.</w:t>
            </w:r>
          </w:p>
        </w:tc>
      </w:tr>
    </w:tbl>
    <w:p>
      <w:pPr>
        <w:spacing w:after="0"/>
      </w:pPr>
    </w:p>
    <w:p>
      <w:pPr>
        <w:spacing w:before="20" w:after="80" w:line="252" w:lineRule="auto"/>
      </w:pPr>
      <w:r>
        <w:rPr>
          <w:rFonts w:ascii="Arial" w:hAnsi="Arial"/>
          <w:b/>
          <w:i/>
          <w:sz w:val="18"/>
        </w:rPr>
        <w:t xml:space="preserve">Nota. </w:t>
      </w:r>
      <w:r>
        <w:rPr>
          <w:rFonts w:ascii="Arial" w:hAnsi="Arial"/>
          <w:i/>
          <w:sz w:val="18"/>
        </w:rPr>
        <w:t>Los 168 reportes diarios generan 840 registros consolidados en cinco categorías, con 43,105 unidades vendidas. Los campos de stock solo pueden usarse como resultados reales cuando provienen del kardex de la empresa.</w:t>
      </w:r>
    </w:p>
    <w:p>
      <w:r>
        <w:br w:type="page"/>
      </w:r>
    </w:p>
    <w:p>
      <w:pPr>
        <w:pStyle w:val="Heading1"/>
        <w:keepNext/>
        <w:spacing w:before="80" w:after="140"/>
      </w:pPr>
      <w:r>
        <w:rPr>
          <w:rFonts w:ascii="Arial" w:hAnsi="Arial"/>
          <w:b/>
          <w:color w:val="000000"/>
          <w:sz w:val="26"/>
        </w:rPr>
        <w:t>Instrumento 1 Cantidad demandada mediante inventario</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Cantidad demandada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CD = (SI + EN) - SF</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CD es la cantidad demandada. SI es stock inicial, EN son entradas y SF es stock final.</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Kardex real y reportes de venta consolidados.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Pretest. Del 1 de abril al 15 de septiembre de 2026.</w:t>
            </w:r>
          </w:p>
        </w:tc>
      </w:tr>
    </w:tbl>
    <w:p>
      <w:pPr>
        <w:spacing w:after="40"/>
      </w:pP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N</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Categoría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SI</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EN</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SF</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CD</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ABARROTES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8,577</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BEBIDAS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15,046</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3</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GOLOSINAS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12,498</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4</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HELADOS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4,200</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LIMPIEZA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2,784</w:t>
            </w:r>
          </w:p>
        </w:tc>
      </w:tr>
    </w:tbl>
    <w:p>
      <w:pPr>
        <w:spacing w:after="0"/>
      </w:pPr>
    </w:p>
    <w:p>
      <w:pPr>
        <w:spacing w:before="20" w:after="80" w:line="252" w:lineRule="auto"/>
      </w:pPr>
      <w:r>
        <w:rPr>
          <w:rFonts w:ascii="Arial" w:hAnsi="Arial"/>
          <w:b/>
          <w:i/>
          <w:sz w:val="18"/>
        </w:rPr>
        <w:t xml:space="preserve">Nota. </w:t>
      </w:r>
      <w:r>
        <w:rPr>
          <w:rFonts w:ascii="Arial" w:hAnsi="Arial"/>
          <w:i/>
          <w:sz w:val="18"/>
        </w:rPr>
        <w:t>La CD proviene de ventas reales. SI, EN y SF no se consignan porque no existe kardex real para aplicar esta fórmula de inventario.</w:t>
      </w:r>
    </w:p>
    <w:p>
      <w:r>
        <w:br w:type="page"/>
      </w:r>
    </w:p>
    <w:p>
      <w:pPr>
        <w:pStyle w:val="Heading1"/>
        <w:keepNext/>
        <w:spacing w:before="80" w:after="140"/>
      </w:pPr>
      <w:r>
        <w:rPr>
          <w:rFonts w:ascii="Arial" w:hAnsi="Arial"/>
          <w:b/>
          <w:color w:val="000000"/>
          <w:sz w:val="26"/>
        </w:rPr>
        <w:t>Instrumento 2 Índice de salida de inventario</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Índice de salida de inventario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ISI = CD / (SI + EN)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ISI mide la proporción de mercadería disponible que se vendió durante el periodo.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Kardex real con stock inicial y entradas por producto o categoría.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Pretest. Del 1 de abril al 15 de septiembre de 2026.</w:t>
            </w:r>
          </w:p>
        </w:tc>
      </w:tr>
    </w:tbl>
    <w:p>
      <w:pPr>
        <w:spacing w:after="40"/>
      </w:pP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N</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Categoría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CD</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SI</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EN</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ISI</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ABARROTES</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8,577</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BEBIDAS</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15,046</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3</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GOLOSINAS</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12,498</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4</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HELADOS</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4,200</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LIMPIEZA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2,784</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bl>
    <w:p>
      <w:pPr>
        <w:spacing w:after="0"/>
      </w:pPr>
    </w:p>
    <w:p>
      <w:pPr>
        <w:spacing w:before="20" w:after="80" w:line="252" w:lineRule="auto"/>
      </w:pPr>
      <w:r>
        <w:rPr>
          <w:rFonts w:ascii="Arial" w:hAnsi="Arial"/>
          <w:b/>
          <w:i/>
          <w:sz w:val="18"/>
        </w:rPr>
        <w:t xml:space="preserve">Nota. </w:t>
      </w:r>
      <w:r>
        <w:rPr>
          <w:rFonts w:ascii="Arial" w:hAnsi="Arial"/>
          <w:i/>
          <w:sz w:val="18"/>
        </w:rPr>
        <w:t>No se calcula ISI porque faltarían SI y EN reales. Un valor automático derivado de las ventas no representa la salida real de inventario de la tienda.</w:t>
      </w:r>
    </w:p>
    <w:p>
      <w:r>
        <w:br w:type="page"/>
      </w:r>
    </w:p>
    <w:p>
      <w:pPr>
        <w:pStyle w:val="Heading1"/>
        <w:keepNext/>
        <w:spacing w:before="80" w:after="140"/>
      </w:pPr>
      <w:r>
        <w:rPr>
          <w:rFonts w:ascii="Arial" w:hAnsi="Arial"/>
          <w:b/>
          <w:color w:val="000000"/>
          <w:sz w:val="26"/>
        </w:rPr>
        <w:t>Instrumento 3 Tasa de quiebre de stock</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Tasa de quiebre de stock</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TQS = (DQS / DD) x 100</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TQS mide el porcentaje de días con quiebre de stock. DQS son días sin disponibilidad y DD son días evaluados.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Kardex o control diario de productos agotados.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Pretest. Del 1 de abril al 15 de septiembre de 2026.</w:t>
            </w:r>
          </w:p>
        </w:tc>
      </w:tr>
    </w:tbl>
    <w:p>
      <w:pPr>
        <w:spacing w:after="40"/>
      </w:pP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N</w:t>
            </w:r>
          </w:p>
        </w:tc>
        <w:tc>
          <w:tcPr>
            <w:tcW w:type="dxa" w:w="331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Categoría</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DQS</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DD</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TQS</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w:t>
            </w:r>
          </w:p>
        </w:tc>
        <w:tc>
          <w:tcPr>
            <w:tcW w:type="dxa" w:w="331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ABARROTES</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168</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w:t>
            </w:r>
          </w:p>
        </w:tc>
        <w:tc>
          <w:tcPr>
            <w:tcW w:type="dxa" w:w="331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BEBIDAS</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168</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3</w:t>
            </w:r>
          </w:p>
        </w:tc>
        <w:tc>
          <w:tcPr>
            <w:tcW w:type="dxa" w:w="331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GOLOSINAS</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168</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4</w:t>
            </w:r>
          </w:p>
        </w:tc>
        <w:tc>
          <w:tcPr>
            <w:tcW w:type="dxa" w:w="331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HELADOS</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168</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w:t>
            </w:r>
          </w:p>
        </w:tc>
        <w:tc>
          <w:tcPr>
            <w:tcW w:type="dxa" w:w="331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LIMPIEZA</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168</w:t>
            </w:r>
          </w:p>
        </w:tc>
        <w:tc>
          <w:tcPr>
            <w:tcW w:type="dxa" w:w="172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bl>
    <w:p>
      <w:pPr>
        <w:spacing w:after="0"/>
      </w:pPr>
    </w:p>
    <w:p>
      <w:pPr>
        <w:spacing w:before="20" w:after="80" w:line="252" w:lineRule="auto"/>
      </w:pPr>
      <w:r>
        <w:rPr>
          <w:rFonts w:ascii="Arial" w:hAnsi="Arial"/>
          <w:b/>
          <w:i/>
          <w:sz w:val="18"/>
        </w:rPr>
        <w:t xml:space="preserve">Nota. </w:t>
      </w:r>
      <w:r>
        <w:rPr>
          <w:rFonts w:ascii="Arial" w:hAnsi="Arial"/>
          <w:i/>
          <w:sz w:val="18"/>
        </w:rPr>
        <w:t>Los 168 días corresponden al periodo de ventas. Un día sin venta no demuestra por sí solo que hubo quiebre; por ello DQS queda pendiente de un registro real de agotados.</w:t>
      </w:r>
    </w:p>
    <w:p>
      <w:r>
        <w:br w:type="page"/>
      </w:r>
    </w:p>
    <w:p>
      <w:pPr>
        <w:pStyle w:val="Heading1"/>
        <w:keepNext/>
        <w:spacing w:before="80" w:after="140"/>
      </w:pPr>
      <w:r>
        <w:rPr>
          <w:rFonts w:ascii="Arial" w:hAnsi="Arial"/>
          <w:b/>
          <w:color w:val="000000"/>
          <w:sz w:val="26"/>
        </w:rPr>
        <w:t>Instrumento 4 Estacionalidad diaria</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Estacionalidad</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IE = VD / VPD</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IE es índice estacional. VD es venta diaria del 15 de septiembre y VPD es venta promedio diaria del 1 al 15 de septiembre.</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Historial de demanda consolidado por fecha y categoría.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Pretest. Referencia: del 1 al 15 de septiembre de 2026.</w:t>
            </w:r>
          </w:p>
        </w:tc>
      </w:tr>
    </w:tbl>
    <w:p>
      <w:pPr>
        <w:spacing w:after="40"/>
      </w:pP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N</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Categoría</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VD</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VPD</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IE</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ABARROTES</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53</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51.00</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1.04</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BEBIDAS</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94</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88.87</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1.06</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3</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GOLOSINAS</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67</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69.27</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0.97</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4</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HELADOS</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25</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23.73</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1.05</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LIMPIEZA</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16</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14.67</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1.09</w:t>
            </w:r>
          </w:p>
        </w:tc>
      </w:tr>
    </w:tbl>
    <w:p>
      <w:pPr>
        <w:spacing w:after="0"/>
      </w:pPr>
    </w:p>
    <w:p>
      <w:pPr>
        <w:spacing w:before="20" w:after="80" w:line="252" w:lineRule="auto"/>
      </w:pPr>
      <w:r>
        <w:rPr>
          <w:rFonts w:ascii="Arial" w:hAnsi="Arial"/>
          <w:b/>
          <w:i/>
          <w:sz w:val="18"/>
        </w:rPr>
        <w:t xml:space="preserve">Nota. </w:t>
      </w:r>
      <w:r>
        <w:rPr>
          <w:rFonts w:ascii="Arial" w:hAnsi="Arial"/>
          <w:i/>
          <w:sz w:val="18"/>
        </w:rPr>
        <w:t>Un IE mayor a 1 muestra que la venta del día fue superior a su promedio diario del periodo. Un IE menor a 1 indica una venta inferior al promedio.</w:t>
      </w:r>
    </w:p>
    <w:p>
      <w:r>
        <w:br w:type="page"/>
      </w:r>
    </w:p>
    <w:p>
      <w:pPr>
        <w:pStyle w:val="Heading1"/>
        <w:keepNext/>
        <w:spacing w:before="80" w:after="140"/>
      </w:pPr>
      <w:r>
        <w:rPr>
          <w:rFonts w:ascii="Arial" w:hAnsi="Arial"/>
          <w:b/>
          <w:color w:val="000000"/>
          <w:sz w:val="26"/>
        </w:rPr>
        <w:t>Instrumento 5 Error de pronóstico</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Error de pronóstico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MAPE = (100 / n) x sumatoria de |(DR - DP) / DR|</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DR es demanda real, DP es demanda pronosticada y n es el número de observaciones comparadas.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Pronóstico generado por el sistema y reporte de ventas de la misma fecha.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Pretest. Comparación histórica definida al entrenar el modelo.</w:t>
            </w:r>
          </w:p>
        </w:tc>
      </w:tr>
    </w:tbl>
    <w:p>
      <w:pPr>
        <w:spacing w:after="40"/>
      </w:pP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N</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Categoría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DR</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DP</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MAPE</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ABARROTES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53</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BEBIDAS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94</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3</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GOLOSINAS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67</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4</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HELADOS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25</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LIMPIEZA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16</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bl>
    <w:p>
      <w:pPr>
        <w:spacing w:after="0"/>
      </w:pPr>
    </w:p>
    <w:p>
      <w:pPr>
        <w:spacing w:before="20" w:after="80" w:line="252" w:lineRule="auto"/>
      </w:pPr>
      <w:r>
        <w:rPr>
          <w:rFonts w:ascii="Arial" w:hAnsi="Arial"/>
          <w:b/>
          <w:i/>
          <w:sz w:val="18"/>
        </w:rPr>
        <w:t xml:space="preserve">Nota. </w:t>
      </w:r>
      <w:r>
        <w:rPr>
          <w:rFonts w:ascii="Arial" w:hAnsi="Arial"/>
          <w:i/>
          <w:sz w:val="18"/>
        </w:rPr>
        <w:t>DR está disponible desde las ventas del 15 de septiembre. DP y MAPE quedan pendientes hasta conservar el pronóstico efectuado para esa misma fecha y contrastarlo con la venta real.</w:t>
      </w:r>
    </w:p>
    <w:p>
      <w:r>
        <w:br w:type="page"/>
      </w:r>
    </w:p>
    <w:p>
      <w:pPr>
        <w:pStyle w:val="Heading1"/>
        <w:keepNext/>
        <w:spacing w:before="80" w:after="140"/>
      </w:pPr>
      <w:r>
        <w:rPr>
          <w:rFonts w:ascii="Arial" w:hAnsi="Arial"/>
          <w:b/>
          <w:color w:val="000000"/>
          <w:sz w:val="26"/>
        </w:rPr>
        <w:t>Instrumento 6 Volumen de demanda mediante ventas</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Cantidad demandada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CD = sumatoria de ventas realizadas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CD es la cantidad demandada obtenida directamente de las unidades vendidas.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Reportes diarios de ventas procesados por el sistema.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Pretest. Del 1 de abril al 15 de septiembre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N</w:t>
            </w:r>
          </w:p>
        </w:tc>
        <w:tc>
          <w:tcPr>
            <w:tcW w:type="dxa" w:w="59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Producto</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Cantidad vendida</w:t>
            </w:r>
          </w:p>
        </w:tc>
        <w:tc>
          <w:tcPr>
            <w:tcW w:type="dxa" w:w="129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CD</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w:t>
            </w:r>
          </w:p>
        </w:tc>
        <w:tc>
          <w:tcPr>
            <w:tcW w:type="dxa" w:w="59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PACK MINI COCA COLA + INCA KOLA + FANTA + SPRITE 300 ML</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714</w:t>
            </w:r>
          </w:p>
        </w:tc>
        <w:tc>
          <w:tcPr>
            <w:tcW w:type="dxa" w:w="129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714</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w:t>
            </w:r>
          </w:p>
        </w:tc>
        <w:tc>
          <w:tcPr>
            <w:tcW w:type="dxa" w:w="59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SPORADE APPLE ICE SIN AZÚCAR 500 ML</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673</w:t>
            </w:r>
          </w:p>
        </w:tc>
        <w:tc>
          <w:tcPr>
            <w:tcW w:type="dxa" w:w="129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673</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3</w:t>
            </w:r>
          </w:p>
        </w:tc>
        <w:tc>
          <w:tcPr>
            <w:tcW w:type="dxa" w:w="59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GASEOSA COCA COLA PLUS LATA 320 ML</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608</w:t>
            </w:r>
          </w:p>
        </w:tc>
        <w:tc>
          <w:tcPr>
            <w:tcW w:type="dxa" w:w="129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608</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4</w:t>
            </w:r>
          </w:p>
        </w:tc>
        <w:tc>
          <w:tcPr>
            <w:tcW w:type="dxa" w:w="59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GASEOSA COCA COLA ORIGINAL 600 ML</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591</w:t>
            </w:r>
          </w:p>
        </w:tc>
        <w:tc>
          <w:tcPr>
            <w:tcW w:type="dxa" w:w="129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591</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w:t>
            </w:r>
          </w:p>
        </w:tc>
        <w:tc>
          <w:tcPr>
            <w:tcW w:type="dxa" w:w="59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SPORADE UVA 500 ML</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577</w:t>
            </w:r>
          </w:p>
        </w:tc>
        <w:tc>
          <w:tcPr>
            <w:tcW w:type="dxa" w:w="129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577</w:t>
            </w:r>
          </w:p>
        </w:tc>
      </w:tr>
    </w:tbl>
    <w:p>
      <w:pPr>
        <w:spacing w:after="0"/>
      </w:pPr>
    </w:p>
    <w:p>
      <w:pPr>
        <w:spacing w:before="20" w:after="80" w:line="252" w:lineRule="auto"/>
      </w:pPr>
      <w:r>
        <w:rPr>
          <w:rFonts w:ascii="Arial" w:hAnsi="Arial"/>
          <w:b/>
          <w:i/>
          <w:sz w:val="18"/>
        </w:rPr>
        <w:t xml:space="preserve">Nota. </w:t>
      </w:r>
      <w:r>
        <w:rPr>
          <w:rFonts w:ascii="Arial" w:hAnsi="Arial"/>
          <w:i/>
          <w:sz w:val="18"/>
        </w:rPr>
        <w:t>Se presentan los cinco productos con mayor cantidad vendida en el periodo. La ficha completa se alimenta con los 200 productos registrados en los reportes.</w:t>
      </w:r>
    </w:p>
    <w:p>
      <w:r>
        <w:br w:type="page"/>
      </w:r>
    </w:p>
    <w:p>
      <w:pPr>
        <w:pStyle w:val="Heading1"/>
        <w:keepNext/>
        <w:spacing w:before="80" w:after="140"/>
      </w:pPr>
      <w:r>
        <w:rPr>
          <w:rFonts w:ascii="Arial" w:hAnsi="Arial"/>
          <w:b/>
          <w:color w:val="000000"/>
          <w:sz w:val="26"/>
        </w:rPr>
        <w:t>Instrumento 7 Patrón de demanda estacional</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Estacionalidad</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IE = VP / VPR</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VP es la venta promedio diaria del periodo analizado y VPR es la venta promedio diaria de referencia.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Historial de demanda consolidado por fecha y categoría.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Pretest. Periodo: 1 al 15 de septiembre. Referencia: 1 de abril al 15 de septiembre de 2026.</w:t>
            </w:r>
          </w:p>
        </w:tc>
      </w:tr>
    </w:tbl>
    <w:p>
      <w:pPr>
        <w:spacing w:after="40"/>
      </w:pP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N</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Categoría</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VP</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VPR</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IE</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ABARROTES</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51.00</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51.05</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1.00</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BEBIDAS</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88.87</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89.56</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0.99</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3</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GOLOSINAS</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69.27</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74.39</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0.93</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4</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HELADOS</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23.73</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25.00</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0.95</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LIMPIEZA</w:t>
            </w:r>
          </w:p>
        </w:tc>
        <w:tc>
          <w:tcPr>
            <w:tcW w:type="dxa" w:w="16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14.67</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16.57</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0.89</w:t>
            </w:r>
          </w:p>
        </w:tc>
      </w:tr>
    </w:tbl>
    <w:p>
      <w:pPr>
        <w:spacing w:after="0"/>
      </w:pPr>
    </w:p>
    <w:p>
      <w:pPr>
        <w:spacing w:before="20" w:after="80" w:line="252" w:lineRule="auto"/>
      </w:pPr>
      <w:r>
        <w:rPr>
          <w:rFonts w:ascii="Arial" w:hAnsi="Arial"/>
          <w:b/>
          <w:i/>
          <w:sz w:val="18"/>
        </w:rPr>
        <w:t xml:space="preserve">Nota. </w:t>
      </w:r>
      <w:r>
        <w:rPr>
          <w:rFonts w:ascii="Arial" w:hAnsi="Arial"/>
          <w:i/>
          <w:sz w:val="18"/>
        </w:rPr>
        <w:t>Esta ficha muestra el comportamiento promedio del periodo frente a su referencia histórica. Un IE cercano a 1 indica estabilidad respecto a la referencia.</w:t>
      </w:r>
    </w:p>
    <w:p>
      <w:r>
        <w:br w:type="page"/>
      </w:r>
    </w:p>
    <w:p>
      <w:pPr>
        <w:pStyle w:val="Heading1"/>
        <w:keepNext/>
        <w:spacing w:before="80" w:after="140"/>
      </w:pPr>
      <w:r>
        <w:rPr>
          <w:rFonts w:ascii="Arial" w:hAnsi="Arial"/>
          <w:b/>
          <w:color w:val="000000"/>
          <w:sz w:val="26"/>
        </w:rPr>
        <w:t>Instrumento 8 Precisión del pronóstico</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Error de pronóstico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MAPE = (100 / n) x sumatoria de |(DR - DP) / DR|</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La precisión se determina al comparar demanda real y pronóstico para el mismo día y categoría.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
              <w:rPr>
                <w:rFonts w:ascii="Arial" w:hAnsi="Arial"/>
                <w:b w:val="0"/>
                <w:color w:val="1F1F1F"/>
                <w:sz w:val="18"/>
              </w:rPr>
              <w:t>Reporte de métricas del entrenamiento, pronóstico descargado y ventas reales posteriores.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
              <w:rPr>
                <w:rFonts w:ascii="Arial" w:hAnsi="Arial"/>
                <w:b w:val="0"/>
                <w:color w:val="1F1F1F"/>
                <w:sz w:val="18"/>
              </w:rPr>
              <w:t>Pretest. Comparación histórica definida al entrenar el modelo.</w:t>
            </w:r>
          </w:p>
        </w:tc>
      </w:tr>
    </w:tbl>
    <w:p>
      <w:pPr>
        <w:spacing w:after="40"/>
      </w:pP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N</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Categoría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DR</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DP</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color w:val="FFFFFF"/>
                <w:sz w:val="18"/>
              </w:rPr>
            </w:r>
            <w:r>
              <w:rPr>
                <w:rFonts w:ascii="Arial" w:hAnsi="Arial"/>
                <w:b/>
                <w:color w:val="FFFFFF"/>
                <w:sz w:val="18"/>
              </w:rPr>
              <w:t>MAPE</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ABARROTES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53</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BEBIDAS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94</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3</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GOLOSINAS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67</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4</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
              <w:rPr>
                <w:rFonts w:ascii="Arial" w:hAnsi="Arial"/>
                <w:b w:val="0"/>
                <w:color w:val="1F1F1F"/>
                <w:sz w:val="18"/>
              </w:rPr>
              <w:t>HELADOS</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25</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
              <w:rPr>
                <w:rFonts w:ascii="Arial" w:hAnsi="Arial"/>
                <w:b w:val="0"/>
                <w:color w:val="1F1F1F"/>
                <w:sz w:val="18"/>
              </w:rPr>
              <w:t>N.A.</w:t>
            </w:r>
          </w:p>
        </w:tc>
      </w:tr>
      <w:tr>
        <w:tc>
          <w:tcPr>
            <w:tcW w:type="dxa" w:w="57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5</w:t>
            </w:r>
          </w:p>
        </w:tc>
        <w:tc>
          <w:tcPr>
            <w:tcW w:type="dxa" w:w="302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
              <w:rPr>
                <w:rFonts w:ascii="Arial" w:hAnsi="Arial"/>
                <w:b w:val="0"/>
                <w:color w:val="1F1F1F"/>
                <w:sz w:val="18"/>
              </w:rPr>
              <w:t>LIMPIEZA</w:t>
            </w:r>
          </w:p>
        </w:tc>
        <w:tc>
          <w:tcPr>
            <w:tcW w:type="dxa" w:w="144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16</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c>
          <w:tcPr>
            <w:tcW w:type="dxa" w:w="180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
              <w:rPr>
                <w:rFonts w:ascii="Arial" w:hAnsi="Arial"/>
                <w:b w:val="0"/>
                <w:color w:val="1F1F1F"/>
                <w:sz w:val="18"/>
              </w:rPr>
              <w:t>N.A.</w:t>
            </w:r>
          </w:p>
        </w:tc>
      </w:tr>
    </w:tbl>
    <w:p>
      <w:pPr>
        <w:spacing w:after="0"/>
      </w:pPr>
    </w:p>
    <w:p>
      <w:pPr>
        <w:spacing w:before="20" w:after="80" w:line="252" w:lineRule="auto"/>
      </w:pPr>
      <w:r>
        <w:rPr>
          <w:rFonts w:ascii="Arial" w:hAnsi="Arial"/>
          <w:b/>
          <w:i/>
          <w:sz w:val="18"/>
        </w:rPr>
        <w:t xml:space="preserve">Nota. </w:t>
      </w:r>
      <w:r>
        <w:rPr>
          <w:rFonts w:ascii="Arial" w:hAnsi="Arial"/>
          <w:i/>
          <w:sz w:val="18"/>
        </w:rPr>
        <w:t>El sistema muestra MAE, RMSE y WAPE luego de entrenar. Para registrar el MAPE en esta ficha se deben conservar los pares DR y DP de cada fecha evaluada.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