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60"/>
        <w:jc w:val="center"/>
      </w:pPr>
      <w:r>
        <w:rPr>
          <w:rFonts w:ascii="Arial" w:hAnsi="Arial"/>
          <w:b/>
          <w:color w:val="000000"/>
          <w:sz w:val="32"/>
        </w:rPr>
        <w:t>Anexo 2 Vista previa de instrumentos con inventario calculado</w:t>
      </w:r>
    </w:p>
    <w:p>
      <w:pPr>
        <w:spacing w:before="0" w:after="160" w:line="276" w:lineRule="auto"/>
        <w:jc w:val="both"/>
      </w:pPr>
      <w:r>
        <w:rPr>
          <w:rFonts w:ascii="Arial" w:hAnsi="Arial"/>
          <w:b w:val="0"/>
          <w:i w:val="0"/>
          <w:color w:val="000000"/>
          <w:sz w:val="21"/>
        </w:rPr>
        <w:t>Esta vista previa permite revisar las tablas de inventario con valores calculados a partir de los reportes de venta del 1 de abril al 15 de septiembre de 2026. No reemplaza el kardex real de la empresa ni debe utilizarse como resultado definitivo de tesis.</w:t>
      </w:r>
    </w:p>
    <w:p>
      <w:pPr>
        <w:pStyle w:val="Heading1"/>
        <w:keepNext/>
        <w:spacing w:before="80" w:after="140"/>
      </w:pPr>
      <w:r>
        <w:rPr>
          <w:rFonts w:ascii="Arial" w:hAnsi="Arial"/>
          <w:b/>
          <w:color w:val="000000"/>
          <w:sz w:val="26"/>
        </w:rPr>
        <w:t>Relación de instrumentos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5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N</w:t>
            </w:r>
          </w:p>
        </w:tc>
        <w:tc>
          <w:tcPr>
            <w:tcW w:type="dxa" w:w="38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Instrumento</w:t>
            </w:r>
          </w:p>
        </w:tc>
        <w:tc>
          <w:tcPr>
            <w:tcW w:type="dxa" w:w="11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Momento</w:t>
            </w:r>
          </w:p>
        </w:tc>
        <w:tc>
          <w:tcPr>
            <w:tcW w:type="dxa" w:w="43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Estado de datos</w:t>
            </w:r>
          </w:p>
        </w:tc>
      </w:tr>
      <w:tr>
        <w:tc>
          <w:tcPr>
            <w:tcW w:type="dxa" w:w="5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</w:t>
            </w:r>
          </w:p>
        </w:tc>
        <w:tc>
          <w:tcPr>
            <w:tcW w:type="dxa" w:w="38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Cantidad demandada mediante inventario</w:t>
            </w:r>
          </w:p>
        </w:tc>
        <w:tc>
          <w:tcPr>
            <w:tcW w:type="dxa" w:w="11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Pretest</w:t>
            </w:r>
          </w:p>
        </w:tc>
        <w:tc>
          <w:tcPr>
            <w:tcW w:type="dxa" w:w="43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Vista previa calculada. Kardex real pendiente.</w:t>
            </w:r>
          </w:p>
        </w:tc>
      </w:tr>
      <w:tr>
        <w:tc>
          <w:tcPr>
            <w:tcW w:type="dxa" w:w="5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2</w:t>
            </w:r>
          </w:p>
        </w:tc>
        <w:tc>
          <w:tcPr>
            <w:tcW w:type="dxa" w:w="38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Índice de salida de inventario</w:t>
            </w:r>
          </w:p>
        </w:tc>
        <w:tc>
          <w:tcPr>
            <w:tcW w:type="dxa" w:w="11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Pretest</w:t>
            </w:r>
          </w:p>
        </w:tc>
        <w:tc>
          <w:tcPr>
            <w:tcW w:type="dxa" w:w="43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Vista previa calculada. Kardex real pendiente.</w:t>
            </w:r>
          </w:p>
        </w:tc>
      </w:tr>
      <w:tr>
        <w:tc>
          <w:tcPr>
            <w:tcW w:type="dxa" w:w="5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3</w:t>
            </w:r>
          </w:p>
        </w:tc>
        <w:tc>
          <w:tcPr>
            <w:tcW w:type="dxa" w:w="38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Tasa de quiebre de stock</w:t>
            </w:r>
          </w:p>
        </w:tc>
        <w:tc>
          <w:tcPr>
            <w:tcW w:type="dxa" w:w="11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Pretest</w:t>
            </w:r>
          </w:p>
        </w:tc>
        <w:tc>
          <w:tcPr>
            <w:tcW w:type="dxa" w:w="43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Vista previa calculada. Registro real pendiente.</w:t>
            </w:r>
          </w:p>
        </w:tc>
      </w:tr>
      <w:tr>
        <w:tc>
          <w:tcPr>
            <w:tcW w:type="dxa" w:w="5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4</w:t>
            </w:r>
          </w:p>
        </w:tc>
        <w:tc>
          <w:tcPr>
            <w:tcW w:type="dxa" w:w="38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Estacionalidad diaria</w:t>
            </w:r>
          </w:p>
        </w:tc>
        <w:tc>
          <w:tcPr>
            <w:tcW w:type="dxa" w:w="11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Pretest</w:t>
            </w:r>
          </w:p>
        </w:tc>
        <w:tc>
          <w:tcPr>
            <w:tcW w:type="dxa" w:w="43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Disponible desde ventas reales.</w:t>
            </w:r>
          </w:p>
        </w:tc>
      </w:tr>
      <w:tr>
        <w:tc>
          <w:tcPr>
            <w:tcW w:type="dxa" w:w="5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5</w:t>
            </w:r>
          </w:p>
        </w:tc>
        <w:tc>
          <w:tcPr>
            <w:tcW w:type="dxa" w:w="38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Error de pronóstico</w:t>
            </w:r>
          </w:p>
        </w:tc>
        <w:tc>
          <w:tcPr>
            <w:tcW w:type="dxa" w:w="11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Pretest</w:t>
            </w:r>
          </w:p>
        </w:tc>
        <w:tc>
          <w:tcPr>
            <w:tcW w:type="dxa" w:w="43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MAPE histórico calculado.</w:t>
            </w:r>
          </w:p>
        </w:tc>
      </w:tr>
      <w:tr>
        <w:tc>
          <w:tcPr>
            <w:tcW w:type="dxa" w:w="5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6</w:t>
            </w:r>
          </w:p>
        </w:tc>
        <w:tc>
          <w:tcPr>
            <w:tcW w:type="dxa" w:w="38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Volumen de demanda mediante ventas</w:t>
            </w:r>
          </w:p>
        </w:tc>
        <w:tc>
          <w:tcPr>
            <w:tcW w:type="dxa" w:w="11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Pretest</w:t>
            </w:r>
          </w:p>
        </w:tc>
        <w:tc>
          <w:tcPr>
            <w:tcW w:type="dxa" w:w="43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Disponible desde ventas reales.</w:t>
            </w:r>
          </w:p>
        </w:tc>
      </w:tr>
      <w:tr>
        <w:tc>
          <w:tcPr>
            <w:tcW w:type="dxa" w:w="5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7</w:t>
            </w:r>
          </w:p>
        </w:tc>
        <w:tc>
          <w:tcPr>
            <w:tcW w:type="dxa" w:w="38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Patrón de demanda estacional</w:t>
            </w:r>
          </w:p>
        </w:tc>
        <w:tc>
          <w:tcPr>
            <w:tcW w:type="dxa" w:w="11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Pretest</w:t>
            </w:r>
          </w:p>
        </w:tc>
        <w:tc>
          <w:tcPr>
            <w:tcW w:type="dxa" w:w="43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Disponible desde ventas reales.</w:t>
            </w:r>
          </w:p>
        </w:tc>
      </w:tr>
      <w:tr>
        <w:tc>
          <w:tcPr>
            <w:tcW w:type="dxa" w:w="5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8</w:t>
            </w:r>
          </w:p>
        </w:tc>
        <w:tc>
          <w:tcPr>
            <w:tcW w:type="dxa" w:w="38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Precisión del pronóstico</w:t>
            </w:r>
          </w:p>
        </w:tc>
        <w:tc>
          <w:tcPr>
            <w:tcW w:type="dxa" w:w="11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Pretest</w:t>
            </w:r>
          </w:p>
        </w:tc>
        <w:tc>
          <w:tcPr>
            <w:tcW w:type="dxa" w:w="43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MAPE histórico calculado.</w:t>
            </w:r>
          </w:p>
        </w:tc>
      </w:tr>
    </w:tbl>
    <w:p>
      <w:pPr>
        <w:spacing w:after="0"/>
      </w:pPr>
    </w:p>
    <w:p>
      <w:pPr>
        <w:spacing w:before="20" w:after="80" w:line="252" w:lineRule="auto"/>
      </w:pPr>
      <w:r>
        <w:rPr>
          <w:rFonts w:ascii="Arial" w:hAnsi="Arial"/>
          <w:b/>
          <w:i/>
          <w:sz w:val="18"/>
        </w:rPr>
        <w:t xml:space="preserve">Nota. </w:t>
      </w:r>
      <w:r>
        <w:rPr>
          <w:rFonts w:ascii="Arial" w:hAnsi="Arial"/>
          <w:i/>
          <w:sz w:val="18"/>
        </w:rPr>
        <w:t>La vista previa muestra stock calculado, no registrado por la tienda. La diferencia entre la demanda de los reportes (43,105) y la cantidad atendida por el stock calculado (42,945) es de 160 unidades.</w:t>
      </w:r>
    </w:p>
    <w:p>
      <w:r>
        <w:br w:type="page"/>
      </w:r>
    </w:p>
    <w:p>
      <w:pPr>
        <w:pStyle w:val="Heading1"/>
        <w:keepNext/>
        <w:spacing w:before="80" w:after="140"/>
      </w:pPr>
      <w:r>
        <w:rPr>
          <w:rFonts w:ascii="Arial" w:hAnsi="Arial"/>
          <w:b/>
          <w:color w:val="000000"/>
          <w:sz w:val="26"/>
        </w:rPr>
        <w:t>Instrumento 1 Cantidad demandada mediante inventario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Indicador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Cantidad demandada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Investigador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Guerrero Mora, Carlos David Elian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Lugar de estudio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Minimarket Taully, Comas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Formula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CD = (SI + EN) - SF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Definicion operativa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CD es la cantidad demandada. SI es stock inicial, EN son entradas y SF es stock final.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Fuente de datos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Kardex real y reportes de venta consolidados.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Periodo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Pretest. Del 1 de abril al 15 de septiembre de 2026.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rPr>
          <w:tblHeader w:val="true"/>
        </w:trPr>
        <w:tc>
          <w:tcPr>
            <w:tcW w:type="dxa" w:w="5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N</w:t>
            </w:r>
          </w:p>
        </w:tc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Categoría</w:t>
            </w:r>
          </w:p>
        </w:tc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SI</w:t>
            </w:r>
          </w:p>
        </w:tc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EN</w:t>
            </w:r>
          </w:p>
        </w:tc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SF</w:t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CD</w:t>
            </w:r>
          </w:p>
        </w:tc>
      </w:tr>
      <w:tr>
        <w:tc>
          <w:tcPr>
            <w:tcW w:type="dxa" w:w="5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</w:t>
            </w:r>
          </w:p>
        </w:tc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ABARROTES</w:t>
            </w:r>
          </w:p>
        </w:tc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565</w:t>
            </w:r>
          </w:p>
        </w:tc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8,371</w:t>
            </w:r>
          </w:p>
        </w:tc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362</w:t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8,574</w:t>
            </w:r>
          </w:p>
        </w:tc>
      </w:tr>
      <w:tr>
        <w:tc>
          <w:tcPr>
            <w:tcW w:type="dxa" w:w="5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2</w:t>
            </w:r>
          </w:p>
        </w:tc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BEBIDAS</w:t>
            </w:r>
          </w:p>
        </w:tc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1,077</w:t>
            </w:r>
          </w:p>
        </w:tc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14,523</w:t>
            </w:r>
          </w:p>
        </w:tc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629</w:t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14,971</w:t>
            </w:r>
          </w:p>
        </w:tc>
      </w:tr>
      <w:tr>
        <w:tc>
          <w:tcPr>
            <w:tcW w:type="dxa" w:w="5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3</w:t>
            </w:r>
          </w:p>
        </w:tc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GOLOSINAS</w:t>
            </w:r>
          </w:p>
        </w:tc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959</w:t>
            </w:r>
          </w:p>
        </w:tc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12,115</w:t>
            </w:r>
          </w:p>
        </w:tc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646</w:t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12,428</w:t>
            </w:r>
          </w:p>
        </w:tc>
      </w:tr>
      <w:tr>
        <w:tc>
          <w:tcPr>
            <w:tcW w:type="dxa" w:w="5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4</w:t>
            </w:r>
          </w:p>
        </w:tc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HELADOS</w:t>
            </w:r>
          </w:p>
        </w:tc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311</w:t>
            </w:r>
          </w:p>
        </w:tc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4,107</w:t>
            </w:r>
          </w:p>
        </w:tc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226</w:t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4,192</w:t>
            </w:r>
          </w:p>
        </w:tc>
      </w:tr>
      <w:tr>
        <w:tc>
          <w:tcPr>
            <w:tcW w:type="dxa" w:w="5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5</w:t>
            </w:r>
          </w:p>
        </w:tc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LIMPIEZA</w:t>
            </w:r>
          </w:p>
        </w:tc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245</w:t>
            </w:r>
          </w:p>
        </w:tc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2,697</w:t>
            </w:r>
          </w:p>
        </w:tc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162</w:t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2,780</w:t>
            </w:r>
          </w:p>
        </w:tc>
      </w:tr>
    </w:tbl>
    <w:p>
      <w:pPr>
        <w:spacing w:after="0"/>
      </w:pPr>
    </w:p>
    <w:p>
      <w:pPr>
        <w:spacing w:before="20" w:after="80" w:line="252" w:lineRule="auto"/>
      </w:pPr>
      <w:r>
        <w:rPr>
          <w:rFonts w:ascii="Arial" w:hAnsi="Arial"/>
          <w:b/>
          <w:i/>
          <w:sz w:val="18"/>
        </w:rPr>
        <w:t xml:space="preserve">Nota. </w:t>
      </w:r>
      <w:r>
        <w:rPr>
          <w:rFonts w:ascii="Arial" w:hAnsi="Arial"/>
          <w:i/>
          <w:sz w:val="18"/>
        </w:rPr>
        <w:t>Vista previa: CD se calcula como SI + EN - SF. Estos valores son de un inventario calculado desde ventas y no sustituyen el kardex real.</w:t>
      </w:r>
    </w:p>
    <w:p>
      <w:r>
        <w:br w:type="page"/>
      </w:r>
    </w:p>
    <w:p>
      <w:pPr>
        <w:pStyle w:val="Heading1"/>
        <w:keepNext/>
        <w:spacing w:before="80" w:after="140"/>
      </w:pPr>
      <w:r>
        <w:rPr>
          <w:rFonts w:ascii="Arial" w:hAnsi="Arial"/>
          <w:b/>
          <w:color w:val="000000"/>
          <w:sz w:val="26"/>
        </w:rPr>
        <w:t>Instrumento 2 Índice de salida de inventario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Indicador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Índice de salida de inventario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Investigador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Guerrero Mora, Carlos David Elian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Lugar de estudio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Minimarket Taully, Comas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Formula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ISI = CD / (SI + EN)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Definicion operativa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ISI mide la proporción de mercadería disponible que se vendió durante el periodo.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Fuente de datos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Kardex real con stock inicial y entradas por producto o categoría.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Periodo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Pretest. Del 1 de abril al 15 de septiembre de 2026.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rPr>
          <w:tblHeader w:val="true"/>
        </w:trPr>
        <w:tc>
          <w:tcPr>
            <w:tcW w:type="dxa" w:w="5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N</w:t>
            </w:r>
          </w:p>
        </w:tc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Categoría</w:t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CD</w:t>
            </w:r>
          </w:p>
        </w:tc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SI</w:t>
            </w:r>
          </w:p>
        </w:tc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EN</w:t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ISI</w:t>
            </w:r>
          </w:p>
        </w:tc>
      </w:tr>
      <w:tr>
        <w:tc>
          <w:tcPr>
            <w:tcW w:type="dxa" w:w="5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</w:t>
            </w:r>
          </w:p>
        </w:tc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ABARROTES</w:t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8,574</w:t>
            </w:r>
          </w:p>
        </w:tc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565</w:t>
            </w:r>
          </w:p>
        </w:tc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8,371</w:t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95.95%</w:t>
            </w:r>
          </w:p>
        </w:tc>
      </w:tr>
      <w:tr>
        <w:tc>
          <w:tcPr>
            <w:tcW w:type="dxa" w:w="5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2</w:t>
            </w:r>
          </w:p>
        </w:tc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BEBIDAS</w:t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14,971</w:t>
            </w:r>
          </w:p>
        </w:tc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1,077</w:t>
            </w:r>
          </w:p>
        </w:tc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14,523</w:t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95.97%</w:t>
            </w:r>
          </w:p>
        </w:tc>
      </w:tr>
      <w:tr>
        <w:tc>
          <w:tcPr>
            <w:tcW w:type="dxa" w:w="5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3</w:t>
            </w:r>
          </w:p>
        </w:tc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GOLOSINAS</w:t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12,428</w:t>
            </w:r>
          </w:p>
        </w:tc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959</w:t>
            </w:r>
          </w:p>
        </w:tc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12,115</w:t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95.06%</w:t>
            </w:r>
          </w:p>
        </w:tc>
      </w:tr>
      <w:tr>
        <w:tc>
          <w:tcPr>
            <w:tcW w:type="dxa" w:w="5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4</w:t>
            </w:r>
          </w:p>
        </w:tc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HELADOS</w:t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4,192</w:t>
            </w:r>
          </w:p>
        </w:tc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311</w:t>
            </w:r>
          </w:p>
        </w:tc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4,107</w:t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94.88%</w:t>
            </w:r>
          </w:p>
        </w:tc>
      </w:tr>
      <w:tr>
        <w:tc>
          <w:tcPr>
            <w:tcW w:type="dxa" w:w="5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5</w:t>
            </w:r>
          </w:p>
        </w:tc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LIMPIEZA</w:t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2,780</w:t>
            </w:r>
          </w:p>
        </w:tc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245</w:t>
            </w:r>
          </w:p>
        </w:tc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2,697</w:t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94.49%</w:t>
            </w:r>
          </w:p>
        </w:tc>
      </w:tr>
    </w:tbl>
    <w:p>
      <w:pPr>
        <w:spacing w:after="0"/>
      </w:pPr>
    </w:p>
    <w:p>
      <w:pPr>
        <w:spacing w:before="20" w:after="80" w:line="252" w:lineRule="auto"/>
      </w:pPr>
      <w:r>
        <w:rPr>
          <w:rFonts w:ascii="Arial" w:hAnsi="Arial"/>
          <w:b/>
          <w:i/>
          <w:sz w:val="18"/>
        </w:rPr>
        <w:t xml:space="preserve">Nota. </w:t>
      </w:r>
      <w:r>
        <w:rPr>
          <w:rFonts w:ascii="Arial" w:hAnsi="Arial"/>
          <w:i/>
          <w:sz w:val="18"/>
        </w:rPr>
        <w:t>Vista previa: ISI se calcula con las cifras del inventario calculado. No representa el índice real de salida de la tienda.</w:t>
      </w:r>
    </w:p>
    <w:p>
      <w:r>
        <w:br w:type="page"/>
      </w:r>
    </w:p>
    <w:p>
      <w:pPr>
        <w:pStyle w:val="Heading1"/>
        <w:keepNext/>
        <w:spacing w:before="80" w:after="140"/>
      </w:pPr>
      <w:r>
        <w:rPr>
          <w:rFonts w:ascii="Arial" w:hAnsi="Arial"/>
          <w:b/>
          <w:color w:val="000000"/>
          <w:sz w:val="26"/>
        </w:rPr>
        <w:t>Instrumento 3 Tasa de quiebre de stock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Indicador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Tasa de quiebre de stock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Investigador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Guerrero Mora, Carlos David Elian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Lugar de estudio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Minimarket Taully, Comas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Formula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TQS = (DQS / DD) x 100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Definicion operativa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TQS mide el porcentaje de días con quiebre de stock. DQS son días sin disponibilidad y DD son días evaluados.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Fuente de datos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Kardex o control diario de productos agotados.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Periodo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Pretest. Del 1 de abril al 15 de septiembre de 2026.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rPr>
          <w:tblHeader w:val="true"/>
        </w:trPr>
        <w:tc>
          <w:tcPr>
            <w:tcW w:type="dxa" w:w="5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N</w:t>
            </w:r>
          </w:p>
        </w:tc>
        <w:tc>
          <w:tcPr>
            <w:tcW w:type="dxa" w:w="33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Categoría</w:t>
            </w:r>
          </w:p>
        </w:tc>
        <w:tc>
          <w:tcPr>
            <w:tcW w:type="dxa" w:w="15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DQS</w:t>
            </w:r>
          </w:p>
        </w:tc>
        <w:tc>
          <w:tcPr>
            <w:tcW w:type="dxa" w:w="15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DD</w:t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TQS</w:t>
            </w:r>
          </w:p>
        </w:tc>
      </w:tr>
      <w:tr>
        <w:tc>
          <w:tcPr>
            <w:tcW w:type="dxa" w:w="5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</w:t>
            </w:r>
          </w:p>
        </w:tc>
        <w:tc>
          <w:tcPr>
            <w:tcW w:type="dxa" w:w="33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ABARROTES</w:t>
            </w:r>
          </w:p>
        </w:tc>
        <w:tc>
          <w:tcPr>
            <w:tcW w:type="dxa" w:w="15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3</w:t>
            </w:r>
          </w:p>
        </w:tc>
        <w:tc>
          <w:tcPr>
            <w:tcW w:type="dxa" w:w="15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168</w:t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1.79%</w:t>
            </w:r>
          </w:p>
        </w:tc>
      </w:tr>
      <w:tr>
        <w:tc>
          <w:tcPr>
            <w:tcW w:type="dxa" w:w="5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2</w:t>
            </w:r>
          </w:p>
        </w:tc>
        <w:tc>
          <w:tcPr>
            <w:tcW w:type="dxa" w:w="33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BEBIDAS</w:t>
            </w:r>
          </w:p>
        </w:tc>
        <w:tc>
          <w:tcPr>
            <w:tcW w:type="dxa" w:w="15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33</w:t>
            </w:r>
          </w:p>
        </w:tc>
        <w:tc>
          <w:tcPr>
            <w:tcW w:type="dxa" w:w="15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168</w:t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19.64%</w:t>
            </w:r>
          </w:p>
        </w:tc>
      </w:tr>
      <w:tr>
        <w:tc>
          <w:tcPr>
            <w:tcW w:type="dxa" w:w="5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3</w:t>
            </w:r>
          </w:p>
        </w:tc>
        <w:tc>
          <w:tcPr>
            <w:tcW w:type="dxa" w:w="33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GOLOSINAS</w:t>
            </w:r>
          </w:p>
        </w:tc>
        <w:tc>
          <w:tcPr>
            <w:tcW w:type="dxa" w:w="15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44</w:t>
            </w:r>
          </w:p>
        </w:tc>
        <w:tc>
          <w:tcPr>
            <w:tcW w:type="dxa" w:w="15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168</w:t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26.19%</w:t>
            </w:r>
          </w:p>
        </w:tc>
      </w:tr>
      <w:tr>
        <w:tc>
          <w:tcPr>
            <w:tcW w:type="dxa" w:w="5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4</w:t>
            </w:r>
          </w:p>
        </w:tc>
        <w:tc>
          <w:tcPr>
            <w:tcW w:type="dxa" w:w="33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HELADOS</w:t>
            </w:r>
          </w:p>
        </w:tc>
        <w:tc>
          <w:tcPr>
            <w:tcW w:type="dxa" w:w="15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6</w:t>
            </w:r>
          </w:p>
        </w:tc>
        <w:tc>
          <w:tcPr>
            <w:tcW w:type="dxa" w:w="15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168</w:t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3.57%</w:t>
            </w:r>
          </w:p>
        </w:tc>
      </w:tr>
      <w:tr>
        <w:tc>
          <w:tcPr>
            <w:tcW w:type="dxa" w:w="5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5</w:t>
            </w:r>
          </w:p>
        </w:tc>
        <w:tc>
          <w:tcPr>
            <w:tcW w:type="dxa" w:w="33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LIMPIEZA</w:t>
            </w:r>
          </w:p>
        </w:tc>
        <w:tc>
          <w:tcPr>
            <w:tcW w:type="dxa" w:w="15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3</w:t>
            </w:r>
          </w:p>
        </w:tc>
        <w:tc>
          <w:tcPr>
            <w:tcW w:type="dxa" w:w="15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168</w:t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1.79%</w:t>
            </w:r>
          </w:p>
        </w:tc>
      </w:tr>
    </w:tbl>
    <w:p>
      <w:pPr>
        <w:spacing w:after="0"/>
      </w:pPr>
    </w:p>
    <w:p>
      <w:pPr>
        <w:spacing w:before="20" w:after="80" w:line="252" w:lineRule="auto"/>
      </w:pPr>
      <w:r>
        <w:rPr>
          <w:rFonts w:ascii="Arial" w:hAnsi="Arial"/>
          <w:b/>
          <w:i/>
          <w:sz w:val="18"/>
        </w:rPr>
        <w:t xml:space="preserve">Nota. </w:t>
      </w:r>
      <w:r>
        <w:rPr>
          <w:rFonts w:ascii="Arial" w:hAnsi="Arial"/>
          <w:i/>
          <w:sz w:val="18"/>
        </w:rPr>
        <w:t>Vista previa: DQS cuenta los días con al menos un producto de la categoría sin stock calculado suficiente. No equivale a un registro real de agotados.</w:t>
      </w:r>
    </w:p>
    <w:p>
      <w:r>
        <w:br w:type="page"/>
      </w:r>
    </w:p>
    <w:p>
      <w:pPr>
        <w:pStyle w:val="Heading1"/>
        <w:keepNext/>
        <w:spacing w:before="80" w:after="140"/>
      </w:pPr>
      <w:r>
        <w:rPr>
          <w:rFonts w:ascii="Arial" w:hAnsi="Arial"/>
          <w:b/>
          <w:color w:val="000000"/>
          <w:sz w:val="26"/>
        </w:rPr>
        <w:t>Instrumento 4 Estacionalidad diaria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Indicador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Estacionalidad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Investigador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Guerrero Mora, Carlos David Elian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Lugar de estudio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Minimarket Taully, Comas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Formula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IE = VD / VPD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Definicion operativa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IE es índice estacional. VD es venta diaria del 15 de septiembre y VPD es venta promedio diaria del 1 al 15 de septiembre.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Fuente de datos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Historial de demanda consolidado por fecha y categoría.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Periodo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Pretest. Referencia: del 1 al 15 de septiembre de 2026.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rPr>
          <w:tblHeader w:val="true"/>
        </w:trPr>
        <w:tc>
          <w:tcPr>
            <w:tcW w:type="dxa" w:w="5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N</w:t>
            </w:r>
          </w:p>
        </w:tc>
        <w:tc>
          <w:tcPr>
            <w:tcW w:type="dxa" w:w="30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Categoría</w:t>
            </w:r>
          </w:p>
        </w:tc>
        <w:tc>
          <w:tcPr>
            <w:tcW w:type="dxa" w:w="16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VD</w:t>
            </w:r>
          </w:p>
        </w:tc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VPD</w:t>
            </w:r>
          </w:p>
        </w:tc>
        <w:tc>
          <w:tcPr>
            <w:tcW w:type="dxa" w:w="15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IE</w:t>
            </w:r>
          </w:p>
        </w:tc>
      </w:tr>
      <w:tr>
        <w:tc>
          <w:tcPr>
            <w:tcW w:type="dxa" w:w="5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</w:t>
            </w:r>
          </w:p>
        </w:tc>
        <w:tc>
          <w:tcPr>
            <w:tcW w:type="dxa" w:w="30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ABARROTES</w:t>
            </w:r>
          </w:p>
        </w:tc>
        <w:tc>
          <w:tcPr>
            <w:tcW w:type="dxa" w:w="16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53</w:t>
            </w:r>
          </w:p>
        </w:tc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51.00</w:t>
            </w:r>
          </w:p>
        </w:tc>
        <w:tc>
          <w:tcPr>
            <w:tcW w:type="dxa" w:w="15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1.04</w:t>
            </w:r>
          </w:p>
        </w:tc>
      </w:tr>
      <w:tr>
        <w:tc>
          <w:tcPr>
            <w:tcW w:type="dxa" w:w="5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2</w:t>
            </w:r>
          </w:p>
        </w:tc>
        <w:tc>
          <w:tcPr>
            <w:tcW w:type="dxa" w:w="30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BEBIDAS</w:t>
            </w:r>
          </w:p>
        </w:tc>
        <w:tc>
          <w:tcPr>
            <w:tcW w:type="dxa" w:w="16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94</w:t>
            </w:r>
          </w:p>
        </w:tc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88.87</w:t>
            </w:r>
          </w:p>
        </w:tc>
        <w:tc>
          <w:tcPr>
            <w:tcW w:type="dxa" w:w="15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1.06</w:t>
            </w:r>
          </w:p>
        </w:tc>
      </w:tr>
      <w:tr>
        <w:tc>
          <w:tcPr>
            <w:tcW w:type="dxa" w:w="5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3</w:t>
            </w:r>
          </w:p>
        </w:tc>
        <w:tc>
          <w:tcPr>
            <w:tcW w:type="dxa" w:w="30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GOLOSINAS</w:t>
            </w:r>
          </w:p>
        </w:tc>
        <w:tc>
          <w:tcPr>
            <w:tcW w:type="dxa" w:w="16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67</w:t>
            </w:r>
          </w:p>
        </w:tc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69.27</w:t>
            </w:r>
          </w:p>
        </w:tc>
        <w:tc>
          <w:tcPr>
            <w:tcW w:type="dxa" w:w="15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0.97</w:t>
            </w:r>
          </w:p>
        </w:tc>
      </w:tr>
      <w:tr>
        <w:tc>
          <w:tcPr>
            <w:tcW w:type="dxa" w:w="5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4</w:t>
            </w:r>
          </w:p>
        </w:tc>
        <w:tc>
          <w:tcPr>
            <w:tcW w:type="dxa" w:w="30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HELADOS</w:t>
            </w:r>
          </w:p>
        </w:tc>
        <w:tc>
          <w:tcPr>
            <w:tcW w:type="dxa" w:w="16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25</w:t>
            </w:r>
          </w:p>
        </w:tc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23.73</w:t>
            </w:r>
          </w:p>
        </w:tc>
        <w:tc>
          <w:tcPr>
            <w:tcW w:type="dxa" w:w="15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1.05</w:t>
            </w:r>
          </w:p>
        </w:tc>
      </w:tr>
      <w:tr>
        <w:tc>
          <w:tcPr>
            <w:tcW w:type="dxa" w:w="5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5</w:t>
            </w:r>
          </w:p>
        </w:tc>
        <w:tc>
          <w:tcPr>
            <w:tcW w:type="dxa" w:w="30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LIMPIEZA</w:t>
            </w:r>
          </w:p>
        </w:tc>
        <w:tc>
          <w:tcPr>
            <w:tcW w:type="dxa" w:w="16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16</w:t>
            </w:r>
          </w:p>
        </w:tc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14.67</w:t>
            </w:r>
          </w:p>
        </w:tc>
        <w:tc>
          <w:tcPr>
            <w:tcW w:type="dxa" w:w="15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1.09</w:t>
            </w:r>
          </w:p>
        </w:tc>
      </w:tr>
    </w:tbl>
    <w:p>
      <w:pPr>
        <w:spacing w:after="0"/>
      </w:pPr>
    </w:p>
    <w:p>
      <w:pPr>
        <w:spacing w:before="20" w:after="80" w:line="252" w:lineRule="auto"/>
      </w:pPr>
      <w:r>
        <w:rPr>
          <w:rFonts w:ascii="Arial" w:hAnsi="Arial"/>
          <w:b/>
          <w:i/>
          <w:sz w:val="18"/>
        </w:rPr>
        <w:t xml:space="preserve">Nota. </w:t>
      </w:r>
      <w:r>
        <w:rPr>
          <w:rFonts w:ascii="Arial" w:hAnsi="Arial"/>
          <w:i/>
          <w:sz w:val="18"/>
        </w:rPr>
        <w:t>Un IE mayor a 1 muestra que la venta del día fue superior a su promedio diario del periodo. Un IE menor a 1 indica una venta inferior al promedio.</w:t>
      </w:r>
    </w:p>
    <w:p>
      <w:r>
        <w:br w:type="page"/>
      </w:r>
    </w:p>
    <w:p>
      <w:pPr>
        <w:pStyle w:val="Heading1"/>
        <w:keepNext/>
        <w:spacing w:before="80" w:after="140"/>
      </w:pPr>
      <w:r>
        <w:rPr>
          <w:rFonts w:ascii="Arial" w:hAnsi="Arial"/>
          <w:b/>
          <w:color w:val="000000"/>
          <w:sz w:val="26"/>
        </w:rPr>
        <w:t>Instrumento 5 Error de pronóstico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Indicador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Error de pronóstico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Investigador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Guerrero Mora, Carlos David Elian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Lugar de estudio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Minimarket Taully, Comas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Formula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MAPE = (100 / n) x sumatoria de |(DR - DP) / DR|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Definicion operativa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DR es demanda real, DP es demanda pronosticada y n es el número de observaciones comparadas.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Fuente de datos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Pronóstico generado por el sistema y reporte de ventas de la misma fecha.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Periodo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Pretest. Comparación histórica definida al entrenar el modelo.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rPr>
          <w:tblHeader w:val="true"/>
        </w:trPr>
        <w:tc>
          <w:tcPr>
            <w:tcW w:type="dxa" w:w="5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N</w:t>
            </w:r>
          </w:p>
        </w:tc>
        <w:tc>
          <w:tcPr>
            <w:tcW w:type="dxa" w:w="30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Categoría</w:t>
            </w:r>
          </w:p>
        </w:tc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DR</w:t>
            </w:r>
          </w:p>
        </w:tc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DP</w:t>
            </w:r>
          </w:p>
        </w:tc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MAPE</w:t>
            </w:r>
          </w:p>
        </w:tc>
      </w:tr>
      <w:tr>
        <w:tc>
          <w:tcPr>
            <w:tcW w:type="dxa" w:w="5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</w:t>
            </w:r>
          </w:p>
        </w:tc>
        <w:tc>
          <w:tcPr>
            <w:tcW w:type="dxa" w:w="30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ABARROTES</w:t>
            </w:r>
          </w:p>
        </w:tc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1,558</w:t>
            </w:r>
          </w:p>
        </w:tc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1,544.00</w:t>
            </w:r>
          </w:p>
        </w:tc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23.48%</w:t>
            </w:r>
          </w:p>
        </w:tc>
      </w:tr>
      <w:tr>
        <w:tc>
          <w:tcPr>
            <w:tcW w:type="dxa" w:w="5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2</w:t>
            </w:r>
          </w:p>
        </w:tc>
        <w:tc>
          <w:tcPr>
            <w:tcW w:type="dxa" w:w="30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BEBIDAS</w:t>
            </w:r>
          </w:p>
        </w:tc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2,638</w:t>
            </w:r>
          </w:p>
        </w:tc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2,609.59</w:t>
            </w:r>
          </w:p>
        </w:tc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15.47%</w:t>
            </w:r>
          </w:p>
        </w:tc>
      </w:tr>
      <w:tr>
        <w:tc>
          <w:tcPr>
            <w:tcW w:type="dxa" w:w="5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3</w:t>
            </w:r>
          </w:p>
        </w:tc>
        <w:tc>
          <w:tcPr>
            <w:tcW w:type="dxa" w:w="30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GOLOSINAS</w:t>
            </w:r>
          </w:p>
        </w:tc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1,985</w:t>
            </w:r>
          </w:p>
        </w:tc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2,114.58</w:t>
            </w:r>
          </w:p>
        </w:tc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23.27%</w:t>
            </w:r>
          </w:p>
        </w:tc>
      </w:tr>
      <w:tr>
        <w:tc>
          <w:tcPr>
            <w:tcW w:type="dxa" w:w="5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4</w:t>
            </w:r>
          </w:p>
        </w:tc>
        <w:tc>
          <w:tcPr>
            <w:tcW w:type="dxa" w:w="30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HELADOS</w:t>
            </w:r>
          </w:p>
        </w:tc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716</w:t>
            </w:r>
          </w:p>
        </w:tc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733.75</w:t>
            </w:r>
          </w:p>
        </w:tc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26.51%</w:t>
            </w:r>
          </w:p>
        </w:tc>
      </w:tr>
      <w:tr>
        <w:tc>
          <w:tcPr>
            <w:tcW w:type="dxa" w:w="5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5</w:t>
            </w:r>
          </w:p>
        </w:tc>
        <w:tc>
          <w:tcPr>
            <w:tcW w:type="dxa" w:w="30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LIMPIEZA</w:t>
            </w:r>
          </w:p>
        </w:tc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432</w:t>
            </w:r>
          </w:p>
        </w:tc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513.25</w:t>
            </w:r>
          </w:p>
        </w:tc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39.38%</w:t>
            </w:r>
          </w:p>
        </w:tc>
      </w:tr>
    </w:tbl>
    <w:p>
      <w:pPr>
        <w:spacing w:after="0"/>
      </w:pPr>
    </w:p>
    <w:p>
      <w:pPr>
        <w:spacing w:before="20" w:after="80" w:line="252" w:lineRule="auto"/>
      </w:pPr>
      <w:r>
        <w:rPr>
          <w:rFonts w:ascii="Arial" w:hAnsi="Arial"/>
          <w:b/>
          <w:i/>
          <w:sz w:val="18"/>
        </w:rPr>
        <w:t xml:space="preserve">Nota. </w:t>
      </w:r>
      <w:r>
        <w:rPr>
          <w:rFonts w:ascii="Arial" w:hAnsi="Arial"/>
          <w:i/>
          <w:sz w:val="18"/>
        </w:rPr>
        <w:t>Vista previa: DR y DP son los totales de las 28 observaciones diarias validadas del 19 de agosto al 15 de septiembre de 2026. MAPE se calcula observación por observación antes de promediar.</w:t>
      </w:r>
    </w:p>
    <w:p>
      <w:r>
        <w:br w:type="page"/>
      </w:r>
    </w:p>
    <w:p>
      <w:pPr>
        <w:pStyle w:val="Heading1"/>
        <w:keepNext/>
        <w:spacing w:before="80" w:after="140"/>
      </w:pPr>
      <w:r>
        <w:rPr>
          <w:rFonts w:ascii="Arial" w:hAnsi="Arial"/>
          <w:b/>
          <w:color w:val="000000"/>
          <w:sz w:val="26"/>
        </w:rPr>
        <w:t>Instrumento 6 Volumen de demanda mediante ventas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Indicador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Cantidad demandada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Investigador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Guerrero Mora, Carlos David Elian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Lugar de estudio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Minimarket Taully, Comas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Formula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CD = sumatoria de ventas realizadas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Definicion operativa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CD es la cantidad demandada obtenida directamente de las unidades vendidas.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Fuente de datos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Reportes diarios de ventas procesados por el sistema.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Periodo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Pretest. Del 1 de abril al 15 de septiembre de 2026.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5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N</w:t>
            </w:r>
          </w:p>
        </w:tc>
        <w:tc>
          <w:tcPr>
            <w:tcW w:type="dxa" w:w="59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Producto</w:t>
            </w:r>
          </w:p>
        </w:tc>
        <w:tc>
          <w:tcPr>
            <w:tcW w:type="dxa" w:w="15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Cantidad vendida</w:t>
            </w:r>
          </w:p>
        </w:tc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CD</w:t>
            </w:r>
          </w:p>
        </w:tc>
      </w:tr>
      <w:tr>
        <w:tc>
          <w:tcPr>
            <w:tcW w:type="dxa" w:w="5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</w:t>
            </w:r>
          </w:p>
        </w:tc>
        <w:tc>
          <w:tcPr>
            <w:tcW w:type="dxa" w:w="59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PACK MINI COCA COLA + INCA KOLA + FANTA + SPRITE 300 ML</w:t>
            </w:r>
          </w:p>
        </w:tc>
        <w:tc>
          <w:tcPr>
            <w:tcW w:type="dxa" w:w="15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714</w:t>
            </w:r>
          </w:p>
        </w:tc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714</w:t>
            </w:r>
          </w:p>
        </w:tc>
      </w:tr>
      <w:tr>
        <w:tc>
          <w:tcPr>
            <w:tcW w:type="dxa" w:w="5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2</w:t>
            </w:r>
          </w:p>
        </w:tc>
        <w:tc>
          <w:tcPr>
            <w:tcW w:type="dxa" w:w="59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SPORADE APPLE ICE SIN AZÚCAR 500 ML</w:t>
            </w:r>
          </w:p>
        </w:tc>
        <w:tc>
          <w:tcPr>
            <w:tcW w:type="dxa" w:w="15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673</w:t>
            </w:r>
          </w:p>
        </w:tc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673</w:t>
            </w:r>
          </w:p>
        </w:tc>
      </w:tr>
      <w:tr>
        <w:tc>
          <w:tcPr>
            <w:tcW w:type="dxa" w:w="5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3</w:t>
            </w:r>
          </w:p>
        </w:tc>
        <w:tc>
          <w:tcPr>
            <w:tcW w:type="dxa" w:w="59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GASEOSA COCA COLA PLUS LATA 320 ML</w:t>
            </w:r>
          </w:p>
        </w:tc>
        <w:tc>
          <w:tcPr>
            <w:tcW w:type="dxa" w:w="15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608</w:t>
            </w:r>
          </w:p>
        </w:tc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608</w:t>
            </w:r>
          </w:p>
        </w:tc>
      </w:tr>
      <w:tr>
        <w:tc>
          <w:tcPr>
            <w:tcW w:type="dxa" w:w="5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4</w:t>
            </w:r>
          </w:p>
        </w:tc>
        <w:tc>
          <w:tcPr>
            <w:tcW w:type="dxa" w:w="59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GASEOSA COCA COLA ORIGINAL 600 ML</w:t>
            </w:r>
          </w:p>
        </w:tc>
        <w:tc>
          <w:tcPr>
            <w:tcW w:type="dxa" w:w="15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591</w:t>
            </w:r>
          </w:p>
        </w:tc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591</w:t>
            </w:r>
          </w:p>
        </w:tc>
      </w:tr>
      <w:tr>
        <w:tc>
          <w:tcPr>
            <w:tcW w:type="dxa" w:w="5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5</w:t>
            </w:r>
          </w:p>
        </w:tc>
        <w:tc>
          <w:tcPr>
            <w:tcW w:type="dxa" w:w="59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SPORADE UVA 500 ML</w:t>
            </w:r>
          </w:p>
        </w:tc>
        <w:tc>
          <w:tcPr>
            <w:tcW w:type="dxa" w:w="15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577</w:t>
            </w:r>
          </w:p>
        </w:tc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577</w:t>
            </w:r>
          </w:p>
        </w:tc>
      </w:tr>
    </w:tbl>
    <w:p>
      <w:pPr>
        <w:spacing w:after="0"/>
      </w:pPr>
    </w:p>
    <w:p>
      <w:pPr>
        <w:spacing w:before="20" w:after="80" w:line="252" w:lineRule="auto"/>
      </w:pPr>
      <w:r>
        <w:rPr>
          <w:rFonts w:ascii="Arial" w:hAnsi="Arial"/>
          <w:b/>
          <w:i/>
          <w:sz w:val="18"/>
        </w:rPr>
        <w:t xml:space="preserve">Nota. </w:t>
      </w:r>
      <w:r>
        <w:rPr>
          <w:rFonts w:ascii="Arial" w:hAnsi="Arial"/>
          <w:i/>
          <w:sz w:val="18"/>
        </w:rPr>
        <w:t>Se presentan los cinco productos con mayor cantidad vendida en el periodo. La ficha completa se alimenta con los 200 productos registrados en los reportes.</w:t>
      </w:r>
    </w:p>
    <w:p>
      <w:r>
        <w:br w:type="page"/>
      </w:r>
    </w:p>
    <w:p>
      <w:pPr>
        <w:pStyle w:val="Heading1"/>
        <w:keepNext/>
        <w:spacing w:before="80" w:after="140"/>
      </w:pPr>
      <w:r>
        <w:rPr>
          <w:rFonts w:ascii="Arial" w:hAnsi="Arial"/>
          <w:b/>
          <w:color w:val="000000"/>
          <w:sz w:val="26"/>
        </w:rPr>
        <w:t>Instrumento 7 Patrón de demanda estacional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Indicador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Estacionalidad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Investigador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Guerrero Mora, Carlos David Elian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Lugar de estudio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Minimarket Taully, Comas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Formula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IE = VP / VPR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Definicion operativa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VP es la venta promedio diaria del periodo analizado y VPR es la venta promedio diaria de referencia.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Fuente de datos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Historial de demanda consolidado por fecha y categoría.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Periodo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Pretest. Periodo: 1 al 15 de septiembre. Referencia: 1 de abril al 15 de septiembre de 2026.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rPr>
          <w:tblHeader w:val="true"/>
        </w:trPr>
        <w:tc>
          <w:tcPr>
            <w:tcW w:type="dxa" w:w="5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N</w:t>
            </w:r>
          </w:p>
        </w:tc>
        <w:tc>
          <w:tcPr>
            <w:tcW w:type="dxa" w:w="30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Categoría</w:t>
            </w:r>
          </w:p>
        </w:tc>
        <w:tc>
          <w:tcPr>
            <w:tcW w:type="dxa" w:w="16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VP</w:t>
            </w:r>
          </w:p>
        </w:tc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VPR</w:t>
            </w:r>
          </w:p>
        </w:tc>
        <w:tc>
          <w:tcPr>
            <w:tcW w:type="dxa" w:w="15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IE</w:t>
            </w:r>
          </w:p>
        </w:tc>
      </w:tr>
      <w:tr>
        <w:tc>
          <w:tcPr>
            <w:tcW w:type="dxa" w:w="5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</w:t>
            </w:r>
          </w:p>
        </w:tc>
        <w:tc>
          <w:tcPr>
            <w:tcW w:type="dxa" w:w="30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ABARROTES</w:t>
            </w:r>
          </w:p>
        </w:tc>
        <w:tc>
          <w:tcPr>
            <w:tcW w:type="dxa" w:w="16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51.00</w:t>
            </w:r>
          </w:p>
        </w:tc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51.05</w:t>
            </w:r>
          </w:p>
        </w:tc>
        <w:tc>
          <w:tcPr>
            <w:tcW w:type="dxa" w:w="15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1.00</w:t>
            </w:r>
          </w:p>
        </w:tc>
      </w:tr>
      <w:tr>
        <w:tc>
          <w:tcPr>
            <w:tcW w:type="dxa" w:w="5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2</w:t>
            </w:r>
          </w:p>
        </w:tc>
        <w:tc>
          <w:tcPr>
            <w:tcW w:type="dxa" w:w="30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BEBIDAS</w:t>
            </w:r>
          </w:p>
        </w:tc>
        <w:tc>
          <w:tcPr>
            <w:tcW w:type="dxa" w:w="16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88.87</w:t>
            </w:r>
          </w:p>
        </w:tc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89.56</w:t>
            </w:r>
          </w:p>
        </w:tc>
        <w:tc>
          <w:tcPr>
            <w:tcW w:type="dxa" w:w="15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0.99</w:t>
            </w:r>
          </w:p>
        </w:tc>
      </w:tr>
      <w:tr>
        <w:tc>
          <w:tcPr>
            <w:tcW w:type="dxa" w:w="5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3</w:t>
            </w:r>
          </w:p>
        </w:tc>
        <w:tc>
          <w:tcPr>
            <w:tcW w:type="dxa" w:w="30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GOLOSINAS</w:t>
            </w:r>
          </w:p>
        </w:tc>
        <w:tc>
          <w:tcPr>
            <w:tcW w:type="dxa" w:w="16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69.27</w:t>
            </w:r>
          </w:p>
        </w:tc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74.39</w:t>
            </w:r>
          </w:p>
        </w:tc>
        <w:tc>
          <w:tcPr>
            <w:tcW w:type="dxa" w:w="15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0.93</w:t>
            </w:r>
          </w:p>
        </w:tc>
      </w:tr>
      <w:tr>
        <w:tc>
          <w:tcPr>
            <w:tcW w:type="dxa" w:w="5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4</w:t>
            </w:r>
          </w:p>
        </w:tc>
        <w:tc>
          <w:tcPr>
            <w:tcW w:type="dxa" w:w="30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HELADOS</w:t>
            </w:r>
          </w:p>
        </w:tc>
        <w:tc>
          <w:tcPr>
            <w:tcW w:type="dxa" w:w="16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23.73</w:t>
            </w:r>
          </w:p>
        </w:tc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25.00</w:t>
            </w:r>
          </w:p>
        </w:tc>
        <w:tc>
          <w:tcPr>
            <w:tcW w:type="dxa" w:w="15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0.95</w:t>
            </w:r>
          </w:p>
        </w:tc>
      </w:tr>
      <w:tr>
        <w:tc>
          <w:tcPr>
            <w:tcW w:type="dxa" w:w="5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5</w:t>
            </w:r>
          </w:p>
        </w:tc>
        <w:tc>
          <w:tcPr>
            <w:tcW w:type="dxa" w:w="30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LIMPIEZA</w:t>
            </w:r>
          </w:p>
        </w:tc>
        <w:tc>
          <w:tcPr>
            <w:tcW w:type="dxa" w:w="16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14.67</w:t>
            </w:r>
          </w:p>
        </w:tc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16.57</w:t>
            </w:r>
          </w:p>
        </w:tc>
        <w:tc>
          <w:tcPr>
            <w:tcW w:type="dxa" w:w="15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0.89</w:t>
            </w:r>
          </w:p>
        </w:tc>
      </w:tr>
    </w:tbl>
    <w:p>
      <w:pPr>
        <w:spacing w:after="0"/>
      </w:pPr>
    </w:p>
    <w:p>
      <w:pPr>
        <w:spacing w:before="20" w:after="80" w:line="252" w:lineRule="auto"/>
      </w:pPr>
      <w:r>
        <w:rPr>
          <w:rFonts w:ascii="Arial" w:hAnsi="Arial"/>
          <w:b/>
          <w:i/>
          <w:sz w:val="18"/>
        </w:rPr>
        <w:t xml:space="preserve">Nota. </w:t>
      </w:r>
      <w:r>
        <w:rPr>
          <w:rFonts w:ascii="Arial" w:hAnsi="Arial"/>
          <w:i/>
          <w:sz w:val="18"/>
        </w:rPr>
        <w:t>Esta ficha muestra el comportamiento promedio del periodo frente a su referencia histórica. Un IE cercano a 1 indica estabilidad respecto a la referencia.</w:t>
      </w:r>
    </w:p>
    <w:p>
      <w:r>
        <w:br w:type="page"/>
      </w:r>
    </w:p>
    <w:p>
      <w:pPr>
        <w:pStyle w:val="Heading1"/>
        <w:keepNext/>
        <w:spacing w:before="80" w:after="140"/>
      </w:pPr>
      <w:r>
        <w:rPr>
          <w:rFonts w:ascii="Arial" w:hAnsi="Arial"/>
          <w:b/>
          <w:color w:val="000000"/>
          <w:sz w:val="26"/>
        </w:rPr>
        <w:t>Instrumento 8 Precisión del pronóstico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Indicador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Error de pronóstico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Investigador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Guerrero Mora, Carlos David Elian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Lugar de estudio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Minimarket Taully, Comas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Formula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MAPE = (100 / n) x sumatoria de |(DR - DP) / DR|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Definicion operativa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La precisión se determina al comparar demanda real y pronóstico para el mismo día y categoría.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Fuente de datos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Reporte de métricas del entrenamiento, pronóstico descargado y ventas reales posteriores.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Periodo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Pretest. Comparación histórica definida al entrenar el modelo.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rPr>
          <w:tblHeader w:val="true"/>
        </w:trPr>
        <w:tc>
          <w:tcPr>
            <w:tcW w:type="dxa" w:w="5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N</w:t>
            </w:r>
          </w:p>
        </w:tc>
        <w:tc>
          <w:tcPr>
            <w:tcW w:type="dxa" w:w="30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Categoría</w:t>
            </w:r>
          </w:p>
        </w:tc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DR</w:t>
            </w:r>
          </w:p>
        </w:tc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DP</w:t>
            </w:r>
          </w:p>
        </w:tc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MAPE</w:t>
            </w:r>
          </w:p>
        </w:tc>
      </w:tr>
      <w:tr>
        <w:tc>
          <w:tcPr>
            <w:tcW w:type="dxa" w:w="5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</w:t>
            </w:r>
          </w:p>
        </w:tc>
        <w:tc>
          <w:tcPr>
            <w:tcW w:type="dxa" w:w="30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ABARROTES</w:t>
            </w:r>
          </w:p>
        </w:tc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1,558</w:t>
            </w:r>
          </w:p>
        </w:tc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1,544.00</w:t>
            </w:r>
          </w:p>
        </w:tc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23.48%</w:t>
            </w:r>
          </w:p>
        </w:tc>
      </w:tr>
      <w:tr>
        <w:tc>
          <w:tcPr>
            <w:tcW w:type="dxa" w:w="5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2</w:t>
            </w:r>
          </w:p>
        </w:tc>
        <w:tc>
          <w:tcPr>
            <w:tcW w:type="dxa" w:w="30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BEBIDAS</w:t>
            </w:r>
          </w:p>
        </w:tc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2,638</w:t>
            </w:r>
          </w:p>
        </w:tc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2,609.59</w:t>
            </w:r>
          </w:p>
        </w:tc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15.47%</w:t>
            </w:r>
          </w:p>
        </w:tc>
      </w:tr>
      <w:tr>
        <w:tc>
          <w:tcPr>
            <w:tcW w:type="dxa" w:w="5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3</w:t>
            </w:r>
          </w:p>
        </w:tc>
        <w:tc>
          <w:tcPr>
            <w:tcW w:type="dxa" w:w="30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GOLOSINAS</w:t>
            </w:r>
          </w:p>
        </w:tc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1,985</w:t>
            </w:r>
          </w:p>
        </w:tc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2,114.58</w:t>
            </w:r>
          </w:p>
        </w:tc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23.27%</w:t>
            </w:r>
          </w:p>
        </w:tc>
      </w:tr>
      <w:tr>
        <w:tc>
          <w:tcPr>
            <w:tcW w:type="dxa" w:w="5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4</w:t>
            </w:r>
          </w:p>
        </w:tc>
        <w:tc>
          <w:tcPr>
            <w:tcW w:type="dxa" w:w="30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HELADOS</w:t>
            </w:r>
          </w:p>
        </w:tc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716</w:t>
            </w:r>
          </w:p>
        </w:tc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733.75</w:t>
            </w:r>
          </w:p>
        </w:tc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26.51%</w:t>
            </w:r>
          </w:p>
        </w:tc>
      </w:tr>
      <w:tr>
        <w:tc>
          <w:tcPr>
            <w:tcW w:type="dxa" w:w="5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5</w:t>
            </w:r>
          </w:p>
        </w:tc>
        <w:tc>
          <w:tcPr>
            <w:tcW w:type="dxa" w:w="30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LIMPIEZA</w:t>
            </w:r>
          </w:p>
        </w:tc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432</w:t>
            </w:r>
          </w:p>
        </w:tc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513.25</w:t>
            </w:r>
          </w:p>
        </w:tc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39.38%</w:t>
            </w:r>
          </w:p>
        </w:tc>
      </w:tr>
    </w:tbl>
    <w:p>
      <w:pPr>
        <w:spacing w:after="0"/>
      </w:pPr>
    </w:p>
    <w:p>
      <w:pPr>
        <w:spacing w:before="20" w:after="80" w:line="252" w:lineRule="auto"/>
      </w:pPr>
      <w:r>
        <w:rPr>
          <w:rFonts w:ascii="Arial" w:hAnsi="Arial"/>
          <w:b/>
          <w:i/>
          <w:sz w:val="18"/>
        </w:rPr>
        <w:t xml:space="preserve">Nota. </w:t>
      </w:r>
      <w:r>
        <w:rPr>
          <w:rFonts w:ascii="Arial" w:hAnsi="Arial"/>
          <w:i/>
          <w:sz w:val="18"/>
        </w:rPr>
        <w:t>Vista previa: los pares DR y DP pertenecen a la validación histórica de 28 días, del 19 de agosto al 15 de septiembre de 2026. El sistema también muestra MAE, RMSE y WAPE luego de entrenar.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