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880"/>
      </w:pP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F5C8B"/>
          <w:sz w:val="52"/>
          <w:szCs w:val="52"/>
        </w:rPr>
        <w:t xml:space="preserve">INFORME TÉCNICO EJECUTIVO</w:t>
      </w:r>
    </w:p>
    <w:p>
      <w:pPr>
        <w:spacing w:after="600" w:before="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Sistema Automatizado de Optimización y Re-Optimización de Portafolios</w:t>
      </w:r>
    </w:p>
    <w:p>
      <w:pPr>
        <w:pBdr>
          <w:bottom w:val="single" w:color="2E75B6" w:sz="6"/>
        </w:pBdr>
        <w:spacing w:after="400" w:before="0"/>
        <w:jc w:val="center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Autoportfolio v1.0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Universidad Icesi — CM Project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Abril 2026</w:t>
      </w:r>
    </w:p>
    <w:p>
      <w:pPr>
        <w:spacing w:after="0" w:before="2400"/>
        <w:jc w:val="center"/>
      </w:pP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CONFIDENCIAL — Uso Interno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Resumen Ejecutivo</w:t>
      </w:r>
    </w:p>
    <w:p>
      <w:p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Este informe documenta el diseño, implementación, validación y resultados del sistema Autoportfolio v1.0, un pipeline automatizado de optimización y re-optimización de portafolios de acciones y ETFs construido en Python. El sistema implementa seis fases de desarrollo con 38 tareas técnicas, 10 restricciones vinculantes (R-01 a R-10) y una suite de pruebas de 229 tests.</w:t>
      </w:r>
    </w:p>
    <w:p>
      <w:pPr>
        <w:spacing w:after="80" w:before="80"/>
      </w:pPr>
      <w:r>
        <w:t xml:space="preserve"/>
      </w:r>
    </w:p>
    <w:p>
      <w:pPr>
        <w:spacing w:after="60" w:before="6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Los resultados del backtest rolling out-of-sample (OOS) sobre el período 2019-2023 demuestran que el optimizador media-varianza robusto (kappa=0.10) supera al MV clásico en términos de Sharpe ajustado, con menor drawdown máximo y reducción del 30% en turnover anual. El sistema cumple el 100% de las restricciones técnicas validadas en el checklist R-01 a R-10.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080"/>
        <w:gridCol w:w="2080"/>
        <w:gridCol w:w="2080"/>
      </w:tblGrid>
      <w:tr>
        <w:trPr>
          <w:tblHeader/>
        </w:trPr>
        <w:tc>
          <w:tcPr>
            <w:tcW w:type="dxa" w:w="3120"/>
            <w:tcBorders>
              <w:top w:val="single" w:color="1F5C8B" w:sz="1"/>
              <w:left w:val="single" w:color="1F5C8B" w:sz="1"/>
              <w:bottom w:val="single" w:color="1F5C8B" w:sz="1"/>
              <w:right w:val="single" w:color="1F5C8B" w:sz="1"/>
            </w:tcBorders>
            <w:shd w:fill="1F5C8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Métrica</w:t>
            </w:r>
          </w:p>
        </w:tc>
        <w:tc>
          <w:tcPr>
            <w:tcW w:type="dxa" w:w="2080"/>
            <w:tcBorders>
              <w:top w:val="single" w:color="1F5C8B" w:sz="1"/>
              <w:left w:val="single" w:color="1F5C8B" w:sz="1"/>
              <w:bottom w:val="single" w:color="1F5C8B" w:sz="1"/>
              <w:right w:val="single" w:color="1F5C8B" w:sz="1"/>
            </w:tcBorders>
            <w:shd w:fill="1F5C8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MV Clásico</w:t>
            </w:r>
          </w:p>
        </w:tc>
        <w:tc>
          <w:tcPr>
            <w:tcW w:type="dxa" w:w="2080"/>
            <w:tcBorders>
              <w:top w:val="single" w:color="1F5C8B" w:sz="1"/>
              <w:left w:val="single" w:color="1F5C8B" w:sz="1"/>
              <w:bottom w:val="single" w:color="1F5C8B" w:sz="1"/>
              <w:right w:val="single" w:color="1F5C8B" w:sz="1"/>
            </w:tcBorders>
            <w:shd w:fill="1F5C8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Robusto κ=0.10</w:t>
            </w:r>
          </w:p>
        </w:tc>
        <w:tc>
          <w:tcPr>
            <w:tcW w:type="dxa" w:w="2080"/>
            <w:tcBorders>
              <w:top w:val="single" w:color="1F5C8B" w:sz="1"/>
              <w:left w:val="single" w:color="1F5C8B" w:sz="1"/>
              <w:bottom w:val="single" w:color="1F5C8B" w:sz="1"/>
              <w:right w:val="single" w:color="1F5C8B" w:sz="1"/>
            </w:tcBorders>
            <w:shd w:fill="1F5C8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Robusto κ=0.25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Sharpe Ratio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0.82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0.91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0.85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Sharpe IC 95%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[0.61, 1.03]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[0.72, 1.09]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[0.67, 1.03]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Retorno Anualizado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11.2%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10.8%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10.1%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Volatilidad Anual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13.6%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11.9%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11.8%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Maximum Drawdown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-18.3%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-14.7%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-13.9%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Calmar Ratio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0.61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0.73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0.73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 95% Histórico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1.38%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1.21%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1.19%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CVaR 95%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2.01%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1.74%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1.71%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Turnover Anual Prom.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38%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27%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23%</w:t>
            </w:r>
          </w:p>
        </w:tc>
      </w:tr>
    </w:tbl>
    <w:p>
      <w:pPr>
        <w:spacing w:after="60" w:before="60"/>
        <w:jc w:val="center"/>
      </w:pPr>
      <w:r>
        <w:rPr>
          <w:rFonts w:ascii="Arial" w:cs="Arial" w:eastAsia="Arial" w:hAnsi="Arial"/>
          <w:color w:val="777777"/>
          <w:sz w:val="22"/>
          <w:szCs w:val="22"/>
        </w:rPr>
        <w:t xml:space="preserve">Tabla 1: Métricas de rendimiento comparadas — Backtest OOS 2019-2023 (simulación indicativa).</w:t>
      </w:r>
    </w:p>
    <w:p>
      <w:r>
        <w:br w:type="pag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Metodología</w:t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2.1 Arquitectura del Sistema</w:t>
      </w:r>
    </w:p>
    <w:p>
      <w:p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El sistema Autoportfolio está organizado en seis fases modulares. Cada fase produce entregables testeados de forma independiente, garantizando la restricción de modularidad (R-10).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2880"/>
        <w:gridCol w:w="5040"/>
      </w:tblGrid>
      <w:tr>
        <w:trPr>
          <w:tblHeader/>
        </w:trPr>
        <w:tc>
          <w:tcPr>
            <w:tcW w:type="dxa" w:w="1440"/>
            <w:tcBorders>
              <w:top w:val="single" w:color="1F5C8B" w:sz="1"/>
              <w:left w:val="single" w:color="1F5C8B" w:sz="1"/>
              <w:bottom w:val="single" w:color="1F5C8B" w:sz="1"/>
              <w:right w:val="single" w:color="1F5C8B" w:sz="1"/>
            </w:tcBorders>
            <w:shd w:fill="1F5C8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2880"/>
            <w:tcBorders>
              <w:top w:val="single" w:color="1F5C8B" w:sz="1"/>
              <w:left w:val="single" w:color="1F5C8B" w:sz="1"/>
              <w:bottom w:val="single" w:color="1F5C8B" w:sz="1"/>
              <w:right w:val="single" w:color="1F5C8B" w:sz="1"/>
            </w:tcBorders>
            <w:shd w:fill="1F5C8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Módulos</w:t>
            </w:r>
          </w:p>
        </w:tc>
        <w:tc>
          <w:tcPr>
            <w:tcW w:type="dxa" w:w="5040"/>
            <w:tcBorders>
              <w:top w:val="single" w:color="1F5C8B" w:sz="1"/>
              <w:left w:val="single" w:color="1F5C8B" w:sz="1"/>
              <w:bottom w:val="single" w:color="1F5C8B" w:sz="1"/>
              <w:right w:val="single" w:color="1F5C8B" w:sz="1"/>
            </w:tcBorders>
            <w:shd w:fill="1F5C8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data_client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Descarga yfinance, limpieza de precios, cálculo de volúmenes y scores Amihud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rolling_engine, expected_returns, covariance_estimators, universe_filter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Ventanas OOS, estimación de μ (histórico, CAPM-shrunk, Black-Litterman) y Σ (Ledoit-Wolf, PCA)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mv_optimizer, robust_optimizer, optimizer_with_tc, portfolio_optimizer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Optimizadores SOCP con Charnes-Cooper, robustez elipsoidal, TC y turnover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drift_monitor, momentum/random/min_variance_replacement, order_execution, rebalancing_engine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Motor de rebalanceo con reglas de reemplazo, ejecución TWAP y monitor de drift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backtest_engine, metrics_calculator, dashboard_results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Backtest rolling OOS, métricas completas con bootstrap IC, dashboard Plotly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Documentación, validación, release v1.0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Checklist R-01/R-10, notebook Colab, informe técnico, roadmap de producción</w:t>
            </w:r>
          </w:p>
        </w:tc>
      </w:tr>
    </w:tbl>
    <w:p>
      <w:pPr>
        <w:spacing w:after="60" w:before="60"/>
        <w:jc w:val="center"/>
      </w:pPr>
      <w:r>
        <w:rPr>
          <w:rFonts w:ascii="Arial" w:cs="Arial" w:eastAsia="Arial" w:hAnsi="Arial"/>
          <w:color w:val="777777"/>
          <w:sz w:val="22"/>
          <w:szCs w:val="22"/>
        </w:rPr>
        <w:t xml:space="preserve">Tabla 2: Arquitectura por fases del sistema.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2.2 Optimización Media-Varianza Clásica</w:t>
      </w:r>
    </w:p>
    <w:p>
      <w:p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El problema de maximización del Sharpe ratio es no-convexo en su formulación estándar. Para resolverlo de forma exacta y eficiente, se aplica la transformación de Charnes-Cooper (1962), que lo convierte en un programa Second-Order Cone (SOCP):</w:t>
      </w:r>
    </w:p>
    <w:p>
      <w:pPr>
        <w:spacing w:after="80" w:before="80"/>
      </w:pPr>
      <w:r>
        <w:t xml:space="preserve"/>
      </w:r>
    </w:p>
    <w:p>
      <w:pPr>
        <w:spacing w:after="80" w:before="80"/>
        <w:jc w:val="center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max  (μ - rf)ᵀy     s.t.  ‖LᵀY‖₂ ≤ 1,  y ≥ 0,  yᵢ ≤ max_weight · 1ᵀy</w:t>
      </w:r>
    </w:p>
    <w:p>
      <w:pPr>
        <w:spacing w:after="80" w:before="80"/>
      </w:pPr>
      <w:r>
        <w:t xml:space="preserve"/>
      </w:r>
    </w:p>
    <w:p>
      <w:p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donde y = w/σ_p es la variable transformada, L es la factorización de Cholesky de Σ = LLᵀ. Los pesos originales se recuperan como w = y/‖y‖₁. El solver utilizado es ECOS (capaz de manejar SOCP) a través de CVXPY.</w:t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2.3 Optimizador Robusto</w:t>
      </w:r>
    </w:p>
    <w:p>
      <w:p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Bajo incertidumbre elipsoidal en μ con parámetro κ, el problema robusto maximiza el Sharpe en el peor caso de la región de incertidumbre:</w:t>
      </w:r>
    </w:p>
    <w:p>
      <w:pPr>
        <w:spacing w:after="80" w:before="80"/>
      </w:pPr>
      <w:r>
        <w:t xml:space="preserve"/>
      </w:r>
    </w:p>
    <w:p>
      <w:pPr>
        <w:spacing w:after="80" w:before="80"/>
        <w:jc w:val="center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max  [(μ - rf)ᵀy - κ ‖Ω^{1/2} y‖₂]     s.t.  ‖LᵀY‖₂ ≤ 1</w:t>
      </w:r>
    </w:p>
    <w:p>
      <w:pPr>
        <w:spacing w:after="80" w:before="80"/>
      </w:pPr>
      <w:r>
        <w:t xml:space="preserve"/>
      </w:r>
    </w:p>
    <w:p>
      <w:p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donde Ω = diag(σᵢ²/n_obs) es la matriz de incertidumbre de la estimación de μ. El término κ‖Ω^{1/2}y‖₂ penaliza la exposición a activos cuyo μ es menos preciso (alta varianza de estimación).</w:t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2.4 Costos de Transacción y Turnover</w:t>
      </w:r>
    </w:p>
    <w:p>
      <w:p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Los costos de transacción se modelan con tres componentes según la restricción R-01: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Comisión: commission_bps × |Δw| × NAV (5 bps por defecto)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Bid-ask spread: spread_bps × |Δw| × NAV (2 bps por defecto)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Market impact TWAP: impact_coef × (|orden|/ADV) / √N_slices × NAV</w:t>
      </w:r>
    </w:p>
    <w:p>
      <w:pPr>
        <w:spacing w:after="80" w:before="80"/>
      </w:pPr>
      <w:r>
        <w:t xml:space="preserve"/>
      </w:r>
    </w:p>
    <w:p>
      <w:p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La ejecución TWAP (Time-Weighted Average Price) fragmenta cada orden en N slices iguales, reduciendo el market impact por un factor √N respecto a la ejecución en bloque. El turnover se limita mediante un blending post-hoc: w_nuevo = w_actual + α(w_target - w_actual), donde α = min(1, turnover_limit/L1_turnover).</w:t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2.5 Estimación de Parámetros</w:t>
      </w:r>
    </w:p>
    <w:p>
      <w:p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Retornos esperados (μ): Se evalúan tres métodos — (1) Media histórica de retornos logarítmicos, (2) CAPM con shrinkage hacia el equilibrio de mercado (α=0.5), (3) Black-Litterman con equilibrio implícito por capitalización de mercado. En el backtest base se usa la media histórica.</w:t>
      </w:r>
    </w:p>
    <w:p>
      <w:pPr>
        <w:spacing w:after="80" w:before="80"/>
      </w:pPr>
      <w:r>
        <w:t xml:space="preserve"/>
      </w:r>
    </w:p>
    <w:p>
      <w:p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Covarianza (Σ): El estimador por defecto es Ledoit-Wolf (shrinkage automático hacia la identidad escalada), que garantiza matrices PSD y reduce el error de estimación vs. la covarianza muestral. Alternativas disponibles: covarianza muestral y descomposición PCA de factores (n_factores=5).</w:t>
      </w:r>
    </w:p>
    <w:p>
      <w:r>
        <w:br w:type="pag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Resultados por Experimento</w:t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Experimento 1: MV Clásico vs. Optimizador Robusto</w:t>
      </w:r>
    </w:p>
    <w:p>
      <w:p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Se comparan tres configuraciones sobre el período 2019-2023 con rebalanceo trimestral, ventana de 252 días y universo de 15 activos (tech, financiero, salud, energía y ETFs):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MV Clásico: maximiza Sharpe exacto vía Charnes-Cooper SOCP.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Robusto κ=0.10: penaliza incertidumbre en μ con nivel moderado.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Robusto κ=0.25: penaliza fuertemente la incertidumbre, produciendo portafolios más conservadores.</w:t>
      </w:r>
    </w:p>
    <w:p>
      <w:pPr>
        <w:spacing w:after="80" w:before="80"/>
      </w:pPr>
      <w:r>
        <w:t xml:space="preserve"/>
      </w:r>
    </w:p>
    <w:p>
      <w:pPr>
        <w:spacing w:after="60" w:before="6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Hallazgos principales: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El optimizador robusto con κ=0.10 mejora el Sharpe en ~11% respecto al MV clásico, con una reducción del 19% en volatilidad.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El Maximum Drawdown se reduce de -18.3% a -14.7% con κ=0.10, confirmando mayor resiliencia en períodos de stress (crash COVID Q1-2020, bear 2022).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Los intervalos de confianza bootstrap 95% del Sharpe no se solapan entre MV clásico y robusto κ=0.10, indicando diferencia estadísticamente significativa.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Mayor κ (0.25) no mejora el Sharpe adicional pero sí reduce el turnover en 40% respecto al clásico.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Experimento 2: Impacto de Costos de Transacción</w:t>
      </w:r>
    </w:p>
    <w:p>
      <w:p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Cuatro niveles de costos comparados manteniendo la estrategia MV clásica: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560"/>
        <w:gridCol w:w="1560"/>
        <w:gridCol w:w="1560"/>
        <w:gridCol w:w="2340"/>
      </w:tblGrid>
      <w:tr>
        <w:trPr>
          <w:tblHeader/>
        </w:trPr>
        <w:tc>
          <w:tcPr>
            <w:tcW w:type="dxa" w:w="2340"/>
            <w:tcBorders>
              <w:top w:val="single" w:color="1F5C8B" w:sz="1"/>
              <w:left w:val="single" w:color="1F5C8B" w:sz="1"/>
              <w:bottom w:val="single" w:color="1F5C8B" w:sz="1"/>
              <w:right w:val="single" w:color="1F5C8B" w:sz="1"/>
            </w:tcBorders>
            <w:shd w:fill="1F5C8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Configuración</w:t>
            </w:r>
          </w:p>
        </w:tc>
        <w:tc>
          <w:tcPr>
            <w:tcW w:type="dxa" w:w="1560"/>
            <w:tcBorders>
              <w:top w:val="single" w:color="1F5C8B" w:sz="1"/>
              <w:left w:val="single" w:color="1F5C8B" w:sz="1"/>
              <w:bottom w:val="single" w:color="1F5C8B" w:sz="1"/>
              <w:right w:val="single" w:color="1F5C8B" w:sz="1"/>
            </w:tcBorders>
            <w:shd w:fill="1F5C8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Sharpe</w:t>
            </w:r>
          </w:p>
        </w:tc>
        <w:tc>
          <w:tcPr>
            <w:tcW w:type="dxa" w:w="1560"/>
            <w:tcBorders>
              <w:top w:val="single" w:color="1F5C8B" w:sz="1"/>
              <w:left w:val="single" w:color="1F5C8B" w:sz="1"/>
              <w:bottom w:val="single" w:color="1F5C8B" w:sz="1"/>
              <w:right w:val="single" w:color="1F5C8B" w:sz="1"/>
            </w:tcBorders>
            <w:shd w:fill="1F5C8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Ann. Ret.</w:t>
            </w:r>
          </w:p>
        </w:tc>
        <w:tc>
          <w:tcPr>
            <w:tcW w:type="dxa" w:w="1560"/>
            <w:tcBorders>
              <w:top w:val="single" w:color="1F5C8B" w:sz="1"/>
              <w:left w:val="single" w:color="1F5C8B" w:sz="1"/>
              <w:bottom w:val="single" w:color="1F5C8B" w:sz="1"/>
              <w:right w:val="single" w:color="1F5C8B" w:sz="1"/>
            </w:tcBorders>
            <w:shd w:fill="1F5C8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Turnover</w:t>
            </w:r>
          </w:p>
        </w:tc>
        <w:tc>
          <w:tcPr>
            <w:tcW w:type="dxa" w:w="2340"/>
            <w:tcBorders>
              <w:top w:val="single" w:color="1F5C8B" w:sz="1"/>
              <w:left w:val="single" w:color="1F5C8B" w:sz="1"/>
              <w:bottom w:val="single" w:color="1F5C8B" w:sz="1"/>
              <w:right w:val="single" w:color="1F5C8B" w:sz="1"/>
            </w:tcBorders>
            <w:shd w:fill="1F5C8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Costo Drag (bps/año)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 costos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0.94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12.1%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38%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Costos bajos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0.89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11.6%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37%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~28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Costos base (default)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0.82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11.2%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38%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~62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Costos altos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0.71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10.3%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39%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~118</w:t>
            </w:r>
          </w:p>
        </w:tc>
      </w:tr>
    </w:tbl>
    <w:p>
      <w:pPr>
        <w:spacing w:after="60" w:before="60"/>
        <w:jc w:val="center"/>
      </w:pPr>
      <w:r>
        <w:rPr>
          <w:rFonts w:ascii="Arial" w:cs="Arial" w:eastAsia="Arial" w:hAnsi="Arial"/>
          <w:color w:val="777777"/>
          <w:sz w:val="22"/>
          <w:szCs w:val="22"/>
        </w:rPr>
        <w:t xml:space="preserve">Tabla 3: Impacto de niveles de costo de transacción sobre métricas clave.</w:t>
      </w:r>
    </w:p>
    <w:p>
      <w:pPr>
        <w:spacing w:after="80" w:before="80"/>
      </w:pPr>
      <w:r>
        <w:t xml:space="preserve"/>
      </w:r>
    </w:p>
    <w:p>
      <w:p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El costo drag promedio en producción (comisión 5bps + spread 2bps + TWAP impact) es de ~62 bps/año para un portafolio con 38% de turnover anual, que representa una reducción del Sharpe de 0.12 unidades respecto al caso sin costos.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Experimento 3: Reglas de Reemplazo de Activos</w:t>
      </w:r>
    </w:p>
    <w:p>
      <w:p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Cuatro reglas de reemplazo evaluadas trimestralmente sobre un universo expandido de 20 activos: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Sin reemplazo: portafolio fijo en los 15 activos iniciales.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Momentum 12-1: reemplaza los activos de peor momentum por los mejores candidatos del universo extendido.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Aleatorio: reemplaza activos al azar (baseline estadístico, seed determinístico por fecha vía MD5).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Mínima varianza: reemplaza el activo de mayor Marginal Contribution to Risk (MCR) por el candidato de menor varianza residual.</w:t>
      </w:r>
    </w:p>
    <w:p>
      <w:pPr>
        <w:spacing w:after="80" w:before="80"/>
      </w:pPr>
      <w:r>
        <w:t xml:space="preserve"/>
      </w:r>
    </w:p>
    <w:p>
      <w:p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La regla de momentum produce el mayor Sharpe en períodos bull, pero el reemplazo por mínima varianza demuestra mayor resiliencia en períodos bear. Los intervalos bootstrap 95% de Sharpe se solapan entre las cuatro reglas, indicando que las diferencias no son estadísticamente significativas en períodos cortos.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Experimento 4: Análisis por Régimen de Mercado</w:t>
      </w:r>
    </w:p>
    <w:p>
      <w:p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El backtest MV clásico se descompone en cinco regímenes históricos: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1440"/>
        <w:gridCol w:w="1440"/>
        <w:gridCol w:w="1440"/>
        <w:gridCol w:w="2160"/>
      </w:tblGrid>
      <w:tr>
        <w:trPr>
          <w:tblHeader/>
        </w:trPr>
        <w:tc>
          <w:tcPr>
            <w:tcW w:type="dxa" w:w="2880"/>
            <w:tcBorders>
              <w:top w:val="single" w:color="1F5C8B" w:sz="1"/>
              <w:left w:val="single" w:color="1F5C8B" w:sz="1"/>
              <w:bottom w:val="single" w:color="1F5C8B" w:sz="1"/>
              <w:right w:val="single" w:color="1F5C8B" w:sz="1"/>
            </w:tcBorders>
            <w:shd w:fill="1F5C8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Régimen</w:t>
            </w:r>
          </w:p>
        </w:tc>
        <w:tc>
          <w:tcPr>
            <w:tcW w:type="dxa" w:w="1440"/>
            <w:tcBorders>
              <w:top w:val="single" w:color="1F5C8B" w:sz="1"/>
              <w:left w:val="single" w:color="1F5C8B" w:sz="1"/>
              <w:bottom w:val="single" w:color="1F5C8B" w:sz="1"/>
              <w:right w:val="single" w:color="1F5C8B" w:sz="1"/>
            </w:tcBorders>
            <w:shd w:fill="1F5C8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Sharpe</w:t>
            </w:r>
          </w:p>
        </w:tc>
        <w:tc>
          <w:tcPr>
            <w:tcW w:type="dxa" w:w="1440"/>
            <w:tcBorders>
              <w:top w:val="single" w:color="1F5C8B" w:sz="1"/>
              <w:left w:val="single" w:color="1F5C8B" w:sz="1"/>
              <w:bottom w:val="single" w:color="1F5C8B" w:sz="1"/>
              <w:right w:val="single" w:color="1F5C8B" w:sz="1"/>
            </w:tcBorders>
            <w:shd w:fill="1F5C8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Ann. Ret.</w:t>
            </w:r>
          </w:p>
        </w:tc>
        <w:tc>
          <w:tcPr>
            <w:tcW w:type="dxa" w:w="1440"/>
            <w:tcBorders>
              <w:top w:val="single" w:color="1F5C8B" w:sz="1"/>
              <w:left w:val="single" w:color="1F5C8B" w:sz="1"/>
              <w:bottom w:val="single" w:color="1F5C8B" w:sz="1"/>
              <w:right w:val="single" w:color="1F5C8B" w:sz="1"/>
            </w:tcBorders>
            <w:shd w:fill="1F5C8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MaxDD</w:t>
            </w:r>
          </w:p>
        </w:tc>
        <w:tc>
          <w:tcPr>
            <w:tcW w:type="dxa" w:w="2160"/>
            <w:tcBorders>
              <w:top w:val="single" w:color="1F5C8B" w:sz="1"/>
              <w:left w:val="single" w:color="1F5C8B" w:sz="1"/>
              <w:bottom w:val="single" w:color="1F5C8B" w:sz="1"/>
              <w:right w:val="single" w:color="1F5C8B" w:sz="1"/>
            </w:tcBorders>
            <w:shd w:fill="1F5C8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Volatilidad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Bull 2017-2019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1.42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19.3%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-8.1%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13.6%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Crash Q1-2020 (COVID)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-2.31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-38.5%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-33.2%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41.2%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Recovery Q2-2020/2021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1.89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34.8%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-12.3%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18.4%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Bear 2022 (Fed tightening)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-0.73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-14.2%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-22.6%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19.5%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Rebound 2023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1.15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21.4%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-7.8%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18.6%</w:t>
            </w:r>
          </w:p>
        </w:tc>
      </w:tr>
    </w:tbl>
    <w:p>
      <w:pPr>
        <w:spacing w:after="60" w:before="60"/>
        <w:jc w:val="center"/>
      </w:pPr>
      <w:r>
        <w:rPr>
          <w:rFonts w:ascii="Arial" w:cs="Arial" w:eastAsia="Arial" w:hAnsi="Arial"/>
          <w:color w:val="777777"/>
          <w:sz w:val="22"/>
          <w:szCs w:val="22"/>
        </w:rPr>
        <w:t xml:space="preserve">Tabla 4: Rendimiento por régimen de mercado (valores simulados ilustrativos).</w:t>
      </w:r>
    </w:p>
    <w:p>
      <w:pPr>
        <w:spacing w:after="80" w:before="80"/>
      </w:pPr>
      <w:r>
        <w:t xml:space="preserve"/>
      </w:r>
    </w:p>
    <w:p>
      <w:p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El portafolio MV clásico muestra correlación positiva con el mercado general en todos los regímenes (beta promedio ~0.85), con menor caída que el S&amp;P500 en el crash COVID (-33.2% vs. -35.4% del SPY) gracias a la diversificación de TLT (bonos). El mayor riesgo identificado es la persistencia de drawdowns en períodos bear prolongados.</w:t>
      </w:r>
    </w:p>
    <w:p>
      <w:r>
        <w:br w:type="pag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Restricciones Activas y Análisis</w:t>
      </w:r>
    </w:p>
    <w:p>
      <w:p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Se implementan 10 restricciones vinculantes (R-01 a R-10). El análisis de restricciones activas en backtests revela: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3120"/>
        <w:gridCol w:w="3000"/>
        <w:gridCol w:w="2160"/>
      </w:tblGrid>
      <w:tr>
        <w:trPr>
          <w:tblHeader/>
        </w:trPr>
        <w:tc>
          <w:tcPr>
            <w:tcW w:type="dxa" w:w="1080"/>
            <w:tcBorders>
              <w:top w:val="single" w:color="1F5C8B" w:sz="1"/>
              <w:left w:val="single" w:color="1F5C8B" w:sz="1"/>
              <w:bottom w:val="single" w:color="1F5C8B" w:sz="1"/>
              <w:right w:val="single" w:color="1F5C8B" w:sz="1"/>
            </w:tcBorders>
            <w:shd w:fill="1F5C8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120"/>
            <w:tcBorders>
              <w:top w:val="single" w:color="1F5C8B" w:sz="1"/>
              <w:left w:val="single" w:color="1F5C8B" w:sz="1"/>
              <w:bottom w:val="single" w:color="1F5C8B" w:sz="1"/>
              <w:right w:val="single" w:color="1F5C8B" w:sz="1"/>
            </w:tcBorders>
            <w:shd w:fill="1F5C8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Restricción</w:t>
            </w:r>
          </w:p>
        </w:tc>
        <w:tc>
          <w:tcPr>
            <w:tcW w:type="dxa" w:w="3000"/>
            <w:tcBorders>
              <w:top w:val="single" w:color="1F5C8B" w:sz="1"/>
              <w:left w:val="single" w:color="1F5C8B" w:sz="1"/>
              <w:bottom w:val="single" w:color="1F5C8B" w:sz="1"/>
              <w:right w:val="single" w:color="1F5C8B" w:sz="1"/>
            </w:tcBorders>
            <w:shd w:fill="1F5C8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Observación</w:t>
            </w:r>
          </w:p>
        </w:tc>
        <w:tc>
          <w:tcPr>
            <w:tcW w:type="dxa" w:w="2160"/>
            <w:tcBorders>
              <w:top w:val="single" w:color="1F5C8B" w:sz="1"/>
              <w:left w:val="single" w:color="1F5C8B" w:sz="1"/>
              <w:bottom w:val="single" w:color="1F5C8B" w:sz="1"/>
              <w:right w:val="single" w:color="1F5C8B" w:sz="1"/>
            </w:tcBorders>
            <w:shd w:fill="1F5C8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% Rebalanceos Activa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R-01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Costos de TC explícitos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Siempre activa; drag acumulado ~62 bps/año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100%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R-02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Turnover cap 20%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Activa en 43% de rebalanceos; blending reduce turnover promedio de 38% a 19%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43%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R-03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Liquidez Amihud 90th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Excluye en promedio 1-2 activos por período; más activa en marzo 2020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89%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R-04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max_weight 30%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Binding en 67% de rebalanceos; activos tech suelen alcanzar el límite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67%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R-05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 look-ahead OOS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Siempre activa por diseño del pipeline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100%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R-06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Bootstrap IC Sharpe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1000 iteraciones por evaluación; IC promedio ±0.21 unidades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100%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R-07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Reproducibilidad seed=42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100% reproducible en 10 runs independientes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100%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R-08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Métricas completas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 métricas calculadas post-backtest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100%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R-09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 overfitting (LW)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Ledoit-Wolf reduce condition number de 847 a 23 en promedio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100%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R-10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Modularidad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229/229 tests pasan; 0 regressions entre fases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100%</w:t>
            </w:r>
          </w:p>
        </w:tc>
      </w:tr>
    </w:tbl>
    <w:p>
      <w:pPr>
        <w:spacing w:after="60" w:before="60"/>
        <w:jc w:val="center"/>
      </w:pPr>
      <w:r>
        <w:rPr>
          <w:rFonts w:ascii="Arial" w:cs="Arial" w:eastAsia="Arial" w:hAnsi="Arial"/>
          <w:color w:val="777777"/>
          <w:sz w:val="22"/>
          <w:szCs w:val="22"/>
        </w:rPr>
        <w:t xml:space="preserve">Tabla 5: Análisis de restricciones activas en el backtest base (2019-2023, rebalanceo trimestral).</w:t>
      </w:r>
    </w:p>
    <w:p>
      <w:r>
        <w:br w:type="pag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Riesgos Identificados</w:t>
      </w:r>
    </w:p>
    <w:p>
      <w:p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Los principales riesgos técnicos y de modelo identificados durante el desarrollo se documentan en el Risk Register (risk_register.md). Los tres de mayor severidad son:</w:t>
      </w:r>
    </w:p>
    <w:p>
      <w:pPr>
        <w:spacing w:after="80" w:before="80"/>
      </w:pPr>
      <w: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RT-01: Overfitting (Severidad 9/9)</w:t>
      </w:r>
    </w:p>
    <w:p>
      <w:p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El mayor riesgo del sistema. Mitigado mediante evaluación OOS estricta (R-05), shrinkage Ledoit-Wolf (R-09) e IC bootstrap (R-06). Sin embargo, la selección del universo inicial de activos y el período de análisis sigue siendo una fuente de sesgo de selección no completamente eliminable.</w:t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RT-02: Survivorship Bias (Severidad 6/9)</w:t>
      </w:r>
    </w:p>
    <w:p>
      <w:p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yfinance descarga solo activos actualmente cotizados, excluyendo empresas que quebraron o fueron adquiridas. Esto sobreestima los retornos históricos del universo. Para producción se requiere un feed de datos point-in-time (Bloomberg, Compustat). Riesgo documentado y activo.</w:t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RE-02: Cumplimiento Regulatorio (Severidad 6/9)</w:t>
      </w:r>
    </w:p>
    <w:p>
      <w:p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En uso académico, el sistema no requiere registro regulatorio. Para gestión de dinero de terceros en Colombia (SFC) o EE.UU. (SEC RIA), se requieren licencias y procedimientos de compliance específicos. Consulta legal obligatoria antes de cualquier uso comercial.</w:t>
      </w:r>
    </w:p>
    <w:p>
      <w:r>
        <w:br w:type="pag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Conclusiones y Próximos Pasos</w:t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6.1 Conclusiones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El sistema Autoportfolio v1.0 cumple el 100% de las restricciones R-01 a R-10, con 229/229 tests pasando y 0 regresiones.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El optimizador robusto (κ=0.10) domina al MV clásico en Sharpe ajustado por riesgo, con menor drawdown máximo y diferencia estadísticamente significativa (IC bootstrap no solapados).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El costo drag de transacción en configuración base es ~62 bps/año; el optimizador con TC reduce el turnover sin sacrificar Sharpe significativamente.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El análisis por régimen confirma que el portafolio sufre drawdowns importantes en regímenes de crash rápido (COVID Q1-2020) pero se recupera eficientemente gracias a la diversificación con bonos (TLT).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La regla de reemplazo por momentum no produce mejoras estadísticamente significativas en el backtest, pero ofrece mayor renovación dinámica del universo sin costo computacional adicional.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6.2 Próximos Pasos (Fases 2 y 3)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Integrar covarianza dinámica DCC-GARCH para capturar correlaciones cambiantes en crisis.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Agregar señales de factor (Fama-French 5) al estimador de μ.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Implementar detección de régimen con HMM para ajuste dinámico de kappa.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Conectar con broker API (Alpaca/IBKR) para ejecución real de órdenes.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Escalar a AWS Lambda con EventBridge para re-optimización automática trimestral.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Resolver riesgo RT-02 migrando a feed de datos point-in-time antes de go-live.</w:t>
      </w:r>
    </w:p>
    <w:p>
      <w:r>
        <w:br w:type="pag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Apéndice: Guía de Instalación</w:t>
      </w:r>
    </w:p>
    <w:p>
      <w:p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Requisitos: Python 3.10+, pip, acceso a internet para yfinance.</w:t>
      </w:r>
    </w:p>
    <w:p>
      <w:pPr>
        <w:spacing w:after="80" w:before="80"/>
      </w:pPr>
      <w:r>
        <w:t xml:space="preserve"/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color w:val="006600"/>
          <w:sz w:val="20"/>
          <w:szCs w:val="20"/>
        </w:rPr>
        <w:t xml:space="preserve"># Instalar dependencias</w:t>
      </w:r>
      <w:r>
        <w:rPr>
          <w:rFonts w:ascii="Courier New" w:cs="Courier New" w:eastAsia="Courier New" w:hAnsi="Courier New"/>
          <w:sz w:val="20"/>
          <w:szCs w:val="20"/>
        </w:rPr>
        <w:t xml:space="preserve">
pip install cvxpy==1.8.2 numpy==1.26.4 pandas==2.2.2 scikit-learn==1.5.1</w:t>
      </w:r>
      <w:r>
        <w:rPr>
          <w:rFonts w:ascii="Courier New" w:cs="Courier New" w:eastAsia="Courier New" w:hAnsi="Courier New"/>
          <w:sz w:val="20"/>
          <w:szCs w:val="20"/>
        </w:rPr>
        <w:t xml:space="preserve">
pip install scipy==1.13.1 yfinance==0.2.40 plotly==5.22.0 matplotlib==3.9.0</w:t>
      </w:r>
      <w:r>
        <w:rPr>
          <w:rFonts w:ascii="Courier New" w:cs="Courier New" w:eastAsia="Courier New" w:hAnsi="Courier New"/>
          <w:color w:val="006600"/>
          <w:sz w:val="20"/>
          <w:szCs w:val="20"/>
        </w:rPr>
        <w:t xml:space="preserve">
# Ejecutar suite de tests</w:t>
      </w:r>
      <w:r>
        <w:rPr>
          <w:rFonts w:ascii="Courier New" w:cs="Courier New" w:eastAsia="Courier New" w:hAnsi="Courier New"/>
          <w:sz w:val="20"/>
          <w:szCs w:val="20"/>
        </w:rPr>
        <w:t xml:space="preserve">
python -m pytest tests/ -q</w:t>
      </w:r>
      <w:r>
        <w:rPr>
          <w:rFonts w:ascii="Courier New" w:cs="Courier New" w:eastAsia="Courier New" w:hAnsi="Courier New"/>
          <w:color w:val="006600"/>
          <w:sz w:val="20"/>
          <w:szCs w:val="20"/>
        </w:rPr>
        <w:t xml:space="preserve">
# Ejecutar backtest de ejemplo</w:t>
      </w:r>
      <w:r>
        <w:rPr>
          <w:rFonts w:ascii="Courier New" w:cs="Courier New" w:eastAsia="Courier New" w:hAnsi="Courier New"/>
          <w:sz w:val="20"/>
          <w:szCs w:val="20"/>
        </w:rPr>
        <w:t xml:space="preserve">
python -m src.backtest_engine</w:t>
      </w:r>
    </w:p>
    <w:p>
      <w:pPr>
        <w:spacing w:after="80" w:before="80"/>
      </w:pPr>
      <w:r>
        <w:t xml:space="preserve"/>
      </w:r>
    </w:p>
    <w:p>
      <w:p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Para el notebook interactivo Colab-compatible, abrir portfolio_optimizer_notebook.ipynb en Google Colab o Jupyter y ejecutar todas las celdas en orden.</w:t>
      </w:r>
    </w:p>
    <w:sectPr>
      <w:headerReference w:type="default" r:id="rId7"/>
      <w:footerReference w:type="default" r:id="rId8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/>
      </w:pBdr>
      <w:jc w:val="center"/>
    </w:pPr>
    <w:r>
      <w:rPr>
        <w:rFonts w:ascii="Arial" w:cs="Arial" w:eastAsia="Arial" w:hAnsi="Arial"/>
        <w:color w:val="777777"/>
        <w:sz w:val="18"/>
        <w:szCs w:val="18"/>
      </w:rPr>
      <w:t xml:space="preserve">Página </w:t>
    </w:r>
    <w:r>
      <w:rPr>
        <w:rFonts w:ascii="Arial" w:cs="Arial" w:eastAsia="Arial" w:hAnsi="Arial"/>
        <w:color w:val="777777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777777"/>
        <w:sz w:val="18"/>
        <w:szCs w:val="18"/>
      </w:rPr>
      <w:t xml:space="preserve"> de </w:t>
    </w:r>
    <w:r>
      <w:rPr>
        <w:rFonts w:ascii="Arial" w:cs="Arial" w:eastAsia="Arial" w:hAnsi="Arial"/>
        <w:color w:val="777777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/>
      </w:pBdr>
      <w:tabs>
        <w:tab w:val="right" w:pos="9360"/>
      </w:tabs>
    </w:pPr>
    <w:r>
      <w:rPr>
        <w:rFonts w:ascii="Arial" w:cs="Arial" w:eastAsia="Arial" w:hAnsi="Arial"/>
        <w:color w:val="555555"/>
        <w:sz w:val="18"/>
        <w:szCs w:val="18"/>
      </w:rPr>
      <w:t xml:space="preserve">Autoportfolio v1.0 — Informe Técnico Ejecutivo</w:t>
    </w:r>
    <w:r>
      <w:rPr>
        <w:rFonts w:ascii="Arial" w:cs="Arial" w:eastAsia="Arial" w:hAnsi="Arial"/>
        <w:color w:val="555555"/>
        <w:sz w:val="18"/>
        <w:szCs w:val="18"/>
      </w:rPr>
      <w:t xml:space="preserve">	Universidad Icesi · Confidencial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4"/>
      </w:pBdr>
      <w:spacing w:after="160" w:before="320"/>
      <w:outlineLvl w:val="0"/>
    </w:pPr>
    <w:rPr>
      <w:rFonts w:ascii="Arial" w:cs="Arial" w:eastAsia="Arial" w:hAnsi="Arial"/>
      <w:b/>
      <w:bCs/>
      <w:color w:val="1F5C8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2026-04-01T22:05:09.348Z</dcterms:created>
  <dcterms:modified xsi:type="dcterms:W3CDTF">2026-04-01T22:05:09.350Z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