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Reporte de Análisis de Dinámica Grupal</w:t>
      </w:r>
    </w:p>
    <w:tbl>
      <w:tblPr>
        <w:tblStyle w:val="LightGrid-Accent1"/>
        <w:tblW w:type="auto" w:w="0"/>
        <w:tblLook w:firstColumn="1" w:firstRow="1" w:lastColumn="0" w:lastRow="0" w:noHBand="0" w:noVBand="1" w:val="04A0"/>
      </w:tblPr>
      <w:tblGrid>
        <w:gridCol w:w="4680"/>
        <w:gridCol w:w="4680"/>
      </w:tblGrid>
      <w:tr>
        <w:tc>
          <w:tcPr>
            <w:tcW w:type="dxa" w:w="4680"/>
          </w:tcPr>
          <w:p>
            <w:r>
              <w:rPr>
                <w:b/>
              </w:rPr>
              <w:t>Título del reporte:</w:t>
            </w:r>
          </w:p>
        </w:tc>
        <w:tc>
          <w:tcPr>
            <w:tcW w:type="dxa" w:w="4680"/>
          </w:tcPr>
          <w:p>
            <w:r>
              <w:t>Sinergia o Resistencia: Un equipo en transición</w:t>
            </w:r>
          </w:p>
        </w:tc>
      </w:tr>
      <w:tr>
        <w:tc>
          <w:tcPr>
            <w:tcW w:type="dxa" w:w="4680"/>
          </w:tcPr>
          <w:p>
            <w:r>
              <w:rPr>
                <w:b/>
              </w:rPr>
              <w:t>Asignatura:</w:t>
            </w:r>
          </w:p>
        </w:tc>
        <w:tc>
          <w:tcPr>
            <w:tcW w:type="dxa" w:w="4680"/>
          </w:tcPr>
          <w:p>
            <w:r>
              <w:t>_____________________________</w:t>
            </w:r>
          </w:p>
        </w:tc>
      </w:tr>
      <w:tr>
        <w:tc>
          <w:tcPr>
            <w:tcW w:type="dxa" w:w="4680"/>
          </w:tcPr>
          <w:p>
            <w:r>
              <w:rPr>
                <w:b/>
              </w:rPr>
              <w:t>Profesor(a):</w:t>
            </w:r>
          </w:p>
        </w:tc>
        <w:tc>
          <w:tcPr>
            <w:tcW w:type="dxa" w:w="4680"/>
          </w:tcPr>
          <w:p>
            <w:r>
              <w:t>_____________________________</w:t>
            </w:r>
          </w:p>
        </w:tc>
      </w:tr>
      <w:tr>
        <w:tc>
          <w:tcPr>
            <w:tcW w:type="dxa" w:w="4680"/>
          </w:tcPr>
          <w:p>
            <w:r>
              <w:rPr>
                <w:b/>
              </w:rPr>
              <w:t>Grupo y número de equipo:</w:t>
            </w:r>
          </w:p>
        </w:tc>
        <w:tc>
          <w:tcPr>
            <w:tcW w:type="dxa" w:w="4680"/>
          </w:tcPr>
          <w:p>
            <w:r>
              <w:t>_____________________________</w:t>
            </w:r>
          </w:p>
        </w:tc>
      </w:tr>
      <w:tr>
        <w:tc>
          <w:tcPr>
            <w:tcW w:type="dxa" w:w="4680"/>
          </w:tcPr>
          <w:p>
            <w:r>
              <w:rPr>
                <w:b/>
              </w:rPr>
              <w:t>Fecha de entrega:</w:t>
            </w:r>
          </w:p>
        </w:tc>
        <w:tc>
          <w:tcPr>
            <w:tcW w:type="dxa" w:w="4680"/>
          </w:tcPr>
          <w:p>
            <w:r>
              <w:t>_____________________________</w:t>
            </w:r>
          </w:p>
        </w:tc>
      </w:tr>
    </w:tbl>
    <w:p/>
    <w:p>
      <w:pPr>
        <w:pStyle w:val="Heading1"/>
      </w:pPr>
      <w:r>
        <w:t>Resumen Ejecutivo</w:t>
      </w:r>
    </w:p>
    <w:p>
      <w:pPr>
        <w:jc w:val="both"/>
      </w:pPr>
      <w:r>
        <w:t>El presente caso de estudio analiza la situación de InnovaTech Solutions, una empresa de desarrollo de software personalizado que enfrenta desafíos derivados de su rápido crecimiento y la integración de nuevo personal. Los problemas identificados incluyen bajo rendimiento, tensiones internas y deficiencias en la comunicación. Para abordar esta situación, se implementó la dinámica grupal Brainwriting 6-3-5, una técnica estructurada que involucró a 6 personas generando 3 ideas cada una durante 5 rondas, resultando en 108 propuestas compartidas en 30 minutos. El objetivo general fue generar soluciones colaborativas que fortalecieran la cohesión del equipo y mejoraran el clima organizacional.</w:t>
      </w:r>
    </w:p>
    <w:p>
      <w:pPr>
        <w:pStyle w:val="Heading1"/>
      </w:pPr>
      <w:r>
        <w:t>Análisis del Contexto Organizacional</w:t>
      </w:r>
    </w:p>
    <w:p>
      <w:pPr>
        <w:jc w:val="both"/>
      </w:pPr>
      <w:r>
        <w:rPr>
          <w:b/>
        </w:rPr>
        <w:t xml:space="preserve">Organización: </w:t>
      </w:r>
      <w:r>
        <w:t>InnovaTech Solutions</w:t>
      </w:r>
    </w:p>
    <w:p>
      <w:pPr>
        <w:jc w:val="both"/>
      </w:pPr>
      <w:r>
        <w:rPr>
          <w:b/>
        </w:rPr>
        <w:t xml:space="preserve">Giro: </w:t>
      </w:r>
      <w:r>
        <w:t>Desarrollo de software personalizado</w:t>
      </w:r>
    </w:p>
    <w:p>
      <w:pPr>
        <w:jc w:val="both"/>
      </w:pPr>
      <w:r>
        <w:t>InnovaTech Solutions se encuentra en una fase de rápido crecimiento empresarial, lo que ha generado la necesidad de incorporar nuevo personal de manera acelerada. Este contexto de expansión ha provocado desajustes en la dinámica laboral, manifestándose en:</w:t>
      </w:r>
    </w:p>
    <w:p>
      <w:pPr>
        <w:pStyle w:val="ListBullet"/>
        <w:jc w:val="both"/>
      </w:pPr>
      <w:r>
        <w:rPr>
          <w:b/>
        </w:rPr>
        <w:t xml:space="preserve">Bajo rendimiento: </w:t>
      </w:r>
      <w:r>
        <w:t>Los indicadores de productividad han disminuido, posiblemente debido a la falta de integración entre equipos establecidos y nuevos miembros.</w:t>
      </w:r>
    </w:p>
    <w:p>
      <w:pPr>
        <w:pStyle w:val="ListBullet"/>
        <w:jc w:val="both"/>
      </w:pPr>
      <w:r>
        <w:rPr>
          <w:b/>
        </w:rPr>
        <w:t xml:space="preserve">Tensiones internas: </w:t>
      </w:r>
      <w:r>
        <w:t>La convivencia entre personal antiguo y nuevo ha generado fricciones, resistencias al cambio y conflictos interpersonales que afectan el ambiente laboral.</w:t>
      </w:r>
    </w:p>
    <w:p>
      <w:pPr>
        <w:pStyle w:val="ListBullet"/>
        <w:jc w:val="both"/>
      </w:pPr>
      <w:r>
        <w:rPr>
          <w:b/>
        </w:rPr>
        <w:t xml:space="preserve">Falta de comunicación: </w:t>
      </w:r>
      <w:r>
        <w:t>Existen barreras comunicacionales que impiden la coordinación efectiva, el intercambio de información y la construcción de objetivos comunes.</w:t>
      </w:r>
    </w:p>
    <w:p>
      <w:pPr>
        <w:jc w:val="both"/>
      </w:pPr>
      <w:r>
        <w:t>Esta situación representa un momento crítico de transición organizacional donde es fundamental intervenir para prevenir el deterioro del clima laboral y recuperar los niveles de eficiencia operativa.</w:t>
      </w:r>
    </w:p>
    <w:p>
      <w:pPr>
        <w:pStyle w:val="Heading1"/>
      </w:pPr>
      <w:r>
        <w:t>Objetivo del Caso de Estudio</w:t>
      </w:r>
    </w:p>
    <w:p>
      <w:pPr>
        <w:jc w:val="both"/>
      </w:pPr>
      <w:r>
        <w:t>El caso de estudio plantea cuatro objetivos fundamentales que guían el análisis y la intervención:</w:t>
      </w:r>
    </w:p>
    <w:p>
      <w:pPr>
        <w:pStyle w:val="ListNumber"/>
        <w:jc w:val="both"/>
      </w:pPr>
      <w:r>
        <w:t>Identificar las características del grupo: reconocer la composición, diversidad de perfiles y particularidades que definen al equipo de trabajo.</w:t>
      </w:r>
    </w:p>
    <w:p>
      <w:pPr>
        <w:pStyle w:val="ListNumber"/>
        <w:jc w:val="both"/>
      </w:pPr>
      <w:r>
        <w:t>Analizar la dinámica grupal: observar patrones de interacción, comunicación, colaboración y resistencias que emergen en el funcionamiento cotidiano del grupo.</w:t>
      </w:r>
    </w:p>
    <w:p>
      <w:pPr>
        <w:pStyle w:val="ListNumber"/>
        <w:jc w:val="both"/>
      </w:pPr>
      <w:r>
        <w:t>Observar la relación entre individuo, grupo y organización: comprender cómo las contribuciones individuales se integran en la dinámica colectiva y cómo la estructura organizacional facilita u obstaculiza este proceso.</w:t>
      </w:r>
    </w:p>
    <w:p>
      <w:pPr>
        <w:pStyle w:val="ListNumber"/>
        <w:jc w:val="both"/>
      </w:pPr>
      <w:r>
        <w:t>Aplicar una dinámica que permita proponer soluciones: implementar una técnica participativa que active la creatividad colectiva y genere propuestas concretas de mejora.</w:t>
      </w:r>
    </w:p>
    <w:p>
      <w:pPr>
        <w:jc w:val="both"/>
      </w:pPr>
      <w:r>
        <w:t>La relevancia de estos objetivos radica en que permiten un diagnóstico integral del equipo, combinando observación, análisis y acción. No se trata únicamente de identificar problemas, sino de activar la capacidad del propio grupo para generar soluciones, promoviendo así el empoderamiento y la apropiación de los procesos de mejora.</w:t>
      </w:r>
    </w:p>
    <w:p>
      <w:pPr>
        <w:pStyle w:val="Heading1"/>
      </w:pPr>
      <w:r>
        <w:t>Descripción de la Dinámica Aplicada</w:t>
      </w:r>
    </w:p>
    <w:p>
      <w:pPr>
        <w:jc w:val="both"/>
      </w:pPr>
      <w:r>
        <w:rPr>
          <w:b/>
        </w:rPr>
        <w:t xml:space="preserve">Nombre: </w:t>
      </w:r>
      <w:r>
        <w:t>Brainwriting 6-3-5</w:t>
      </w:r>
    </w:p>
    <w:p>
      <w:pPr>
        <w:pStyle w:val="Heading2"/>
      </w:pPr>
      <w:r>
        <w:t>¿En qué consiste?</w:t>
      </w:r>
    </w:p>
    <w:p>
      <w:pPr>
        <w:jc w:val="both"/>
      </w:pPr>
      <w:r>
        <w:t>El Brainwriting 6-3-5 es una técnica de generación de ideas estructurada que busca maximizar la creatividad colectiva mediante un proceso silencioso y sistemático. La metodología consiste en:</w:t>
      </w:r>
    </w:p>
    <w:p>
      <w:pPr>
        <w:pStyle w:val="ListBullet"/>
        <w:jc w:val="both"/>
      </w:pPr>
      <w:r>
        <w:t>6 participantes se reúnen en torno a un problema o desafío común.</w:t>
      </w:r>
    </w:p>
    <w:p>
      <w:pPr>
        <w:pStyle w:val="ListBullet"/>
        <w:jc w:val="both"/>
      </w:pPr>
      <w:r>
        <w:t>Cada participante genera 3 ideas iniciales por escrito en una hoja o formato predefinido.</w:t>
      </w:r>
    </w:p>
    <w:p>
      <w:pPr>
        <w:pStyle w:val="ListBullet"/>
        <w:jc w:val="both"/>
      </w:pPr>
      <w:r>
        <w:t>Después de 5 minutos, cada participante pasa su hoja al compañero de al lado.</w:t>
      </w:r>
    </w:p>
    <w:p>
      <w:pPr>
        <w:pStyle w:val="ListBullet"/>
        <w:jc w:val="both"/>
      </w:pPr>
      <w:r>
        <w:t>Al recibir la hoja del otro, cada participante lee las ideas previas y agrega 3 nuevas ideas, pudiendo complementar, mejorar o crear variantes de las propuestas anteriores.</w:t>
      </w:r>
    </w:p>
    <w:p>
      <w:pPr>
        <w:pStyle w:val="ListBullet"/>
        <w:jc w:val="both"/>
      </w:pPr>
      <w:r>
        <w:t>El proceso se repite durante 5 rondas, hasta que cada hoja ha pasado por todos los participantes.</w:t>
      </w:r>
    </w:p>
    <w:p>
      <w:pPr>
        <w:pStyle w:val="ListBullet"/>
        <w:jc w:val="both"/>
      </w:pPr>
      <w:r>
        <w:t>Al finalizar, se obtienen 108 ideas (6 personas × 3 ideas × 6 rondas) generadas de forma colaborativa en aproximadamente 30 minutos.</w:t>
      </w:r>
    </w:p>
    <w:p>
      <w:pPr>
        <w:pStyle w:val="Heading2"/>
      </w:pPr>
      <w:r>
        <w:t>Implementación en InnovaTech Solutions</w:t>
      </w:r>
    </w:p>
    <w:p>
      <w:pPr>
        <w:jc w:val="both"/>
      </w:pPr>
      <w:r>
        <w:t>La dinámica fue aplicada con un grupo de 6 personas del equipo de InnovaTech Solutions, incluyendo tanto personal antiguo como nuevos integrantes. El objetivo específico fue generar propuestas de mejora para los problemas de comunicación, rendimiento y convivencia identificados. Se destinaron 30 minutos para completar las 5 rondas, obteniendo un total de 108 ideas compartidas.</w:t>
      </w:r>
    </w:p>
    <w:p>
      <w:pPr>
        <w:pStyle w:val="Heading2"/>
      </w:pPr>
      <w:r>
        <w:t>Justificación de la elección</w:t>
      </w:r>
    </w:p>
    <w:p>
      <w:pPr>
        <w:jc w:val="both"/>
      </w:pPr>
      <w:r>
        <w:t>La elección del Brainwriting 6-3-5 responde a las necesidades específicas del caso:</w:t>
      </w:r>
    </w:p>
    <w:p>
      <w:pPr>
        <w:pStyle w:val="ListBullet"/>
        <w:jc w:val="both"/>
      </w:pPr>
      <w:r>
        <w:rPr>
          <w:b/>
        </w:rPr>
        <w:t xml:space="preserve">Participación equitativa: </w:t>
      </w:r>
      <w:r>
        <w:t>Al ser un proceso escrito y silencioso, evita que las voces más dominantes opaquen a los participantes más introvertidos, garantizando que todos aporten.</w:t>
      </w:r>
    </w:p>
    <w:p>
      <w:pPr>
        <w:pStyle w:val="ListBullet"/>
        <w:jc w:val="both"/>
      </w:pPr>
      <w:r>
        <w:rPr>
          <w:b/>
        </w:rPr>
        <w:t xml:space="preserve">Reducción de conflictos: </w:t>
      </w:r>
      <w:r>
        <w:t>La ausencia de debate inmediato disminuye las tensiones y permite que las ideas fluyan sin juicios prematuros.</w:t>
      </w:r>
    </w:p>
    <w:p>
      <w:pPr>
        <w:pStyle w:val="ListBullet"/>
        <w:jc w:val="both"/>
      </w:pPr>
      <w:r>
        <w:rPr>
          <w:b/>
        </w:rPr>
        <w:t xml:space="preserve">Construcción colaborativa: </w:t>
      </w:r>
      <w:r>
        <w:t>El formato de rondas permite que las ideas se enriquezcan progresivamente, fomentando la sinergia y el trabajo en equipo.</w:t>
      </w:r>
    </w:p>
    <w:p>
      <w:pPr>
        <w:pStyle w:val="ListBullet"/>
        <w:jc w:val="both"/>
      </w:pPr>
      <w:r>
        <w:rPr>
          <w:b/>
        </w:rPr>
        <w:t xml:space="preserve">Eficiencia: </w:t>
      </w:r>
      <w:r>
        <w:t>Genera un gran volumen de propuestas en poco tiempo, proporcionando material valioso para la toma de decisiones.</w:t>
      </w:r>
    </w:p>
    <w:p>
      <w:pPr>
        <w:pStyle w:val="ListBullet"/>
        <w:jc w:val="both"/>
      </w:pPr>
      <w:r>
        <w:rPr>
          <w:b/>
        </w:rPr>
        <w:t xml:space="preserve">Integración: </w:t>
      </w:r>
      <w:r>
        <w:t>Facilita que nuevos y antiguos miembros colaboren en igualdad de condiciones, promoviendo la cohesión del equipo.</w:t>
      </w:r>
    </w:p>
    <w:p>
      <w:pPr>
        <w:pStyle w:val="Heading1"/>
      </w:pPr>
      <w:r>
        <w:t>Análisis del Grupo</w:t>
      </w:r>
    </w:p>
    <w:p>
      <w:pPr>
        <w:pStyle w:val="Heading2"/>
      </w:pPr>
      <w:r>
        <w:t>Características del grupo</w:t>
      </w:r>
    </w:p>
    <w:p>
      <w:pPr>
        <w:jc w:val="both"/>
      </w:pPr>
      <w:r>
        <w:t>El grupo de InnovaTech Solutions presenta las siguientes características distintivas:</w:t>
      </w:r>
    </w:p>
    <w:p>
      <w:pPr>
        <w:pStyle w:val="ListBullet"/>
        <w:jc w:val="both"/>
      </w:pPr>
      <w:r>
        <w:rPr>
          <w:b/>
        </w:rPr>
        <w:t xml:space="preserve">Diversidad de perfiles: </w:t>
      </w:r>
      <w:r>
        <w:t>El equipo está compuesto por profesionales con diferentes formaciones, experiencias y perspectivas. Esta heterogeneidad, aunque inicialmente generó fricciones, representa una fortaleza potencial al aportar múltiples enfoques para la resolución de problemas.</w:t>
      </w:r>
    </w:p>
    <w:p>
      <w:pPr>
        <w:pStyle w:val="ListBullet"/>
        <w:jc w:val="both"/>
      </w:pPr>
      <w:r>
        <w:rPr>
          <w:b/>
        </w:rPr>
        <w:t xml:space="preserve">Roles emergentes: </w:t>
      </w:r>
      <w:r>
        <w:t>Durante la aplicación de la dinámica, surgieron roles naturales no formales. Se identificó un facilitador que guió el proceso, asegurando el cumplimiento de los tiempos y la comprensión de las instrucciones. También emergió un cohesionador, miembro del grupo que propició un ambiente de confianza y apertura, reduciendo las tensiones iniciales.</w:t>
      </w:r>
    </w:p>
    <w:p>
      <w:pPr>
        <w:pStyle w:val="ListBullet"/>
        <w:jc w:val="both"/>
      </w:pPr>
      <w:r>
        <w:rPr>
          <w:b/>
        </w:rPr>
        <w:t xml:space="preserve">Resistencia inicial: </w:t>
      </w:r>
      <w:r>
        <w:t>Algunos miembros, particularmente del personal antiguo, mostraron resistencia inicial a participar en la dinámica. Esta resistencia se manifestó como escepticismo sobre la utilidad del ejercicio, probablemente relacionada con experiencias previas negativas o temor al cambio.</w:t>
      </w:r>
    </w:p>
    <w:p>
      <w:pPr>
        <w:pStyle w:val="Heading2"/>
      </w:pPr>
      <w:r>
        <w:t>Dinámica del grupo</w:t>
      </w:r>
    </w:p>
    <w:p>
      <w:pPr>
        <w:jc w:val="both"/>
      </w:pPr>
      <w:r>
        <w:t>A lo largo de la implementación de la dinámica, se observaron cambios significativos en el funcionamiento del grupo:</w:t>
      </w:r>
    </w:p>
    <w:p>
      <w:pPr>
        <w:pStyle w:val="ListBullet"/>
        <w:jc w:val="both"/>
      </w:pPr>
      <w:r>
        <w:rPr>
          <w:b/>
        </w:rPr>
        <w:t xml:space="preserve">Mejora en comunicación: </w:t>
      </w:r>
      <w:r>
        <w:t>El formato estructurado del Brainwriting permitió que todos se expresaran sin interrupciones ni confrontaciones. Gradualmente, se observó mayor apertura y disposición para compartir ideas, incluso entre miembros que antes mantenían distancia.</w:t>
      </w:r>
    </w:p>
    <w:p>
      <w:pPr>
        <w:pStyle w:val="ListBullet"/>
        <w:jc w:val="both"/>
      </w:pPr>
      <w:r>
        <w:rPr>
          <w:b/>
        </w:rPr>
        <w:t xml:space="preserve">Selección de propuestas colectivas: </w:t>
      </w:r>
      <w:r>
        <w:t>Al finalizar las rondas, el grupo participó en la revisión y selección de las mejores propuestas. Este proceso de evaluación colectiva fortaleció el sentido de responsabilidad compartida y permitió identificar soluciones con mayor consenso.</w:t>
      </w:r>
    </w:p>
    <w:p>
      <w:pPr>
        <w:pStyle w:val="ListBullet"/>
        <w:jc w:val="both"/>
      </w:pPr>
      <w:r>
        <w:rPr>
          <w:b/>
        </w:rPr>
        <w:t xml:space="preserve">Aumento de confianza y empoderamiento: </w:t>
      </w:r>
      <w:r>
        <w:t>La validación de sus ideas por parte de los compañeros incrementó la autoconfianza de los participantes. El grupo comenzó a percibirse como capaz de resolver sus propios problemas, reduciendo la dependencia de intervenciones externas.</w:t>
      </w:r>
    </w:p>
    <w:p>
      <w:pPr>
        <w:pStyle w:val="Heading2"/>
      </w:pPr>
      <w:r>
        <w:t>Interacción, liderazgo y colaboración</w:t>
      </w:r>
    </w:p>
    <w:p>
      <w:pPr>
        <w:jc w:val="both"/>
      </w:pPr>
      <w:r>
        <w:t>La interacción evolucionó de un estado de desconexión y tensión hacia uno de mayor coordinación y respeto mutuo. El liderazgo no fue impuesto verticalmente, sino que emergió de forma natural y situacional, adaptándose a las necesidades del momento. La colaboración, inicialmente limitada, se intensificó conforme los participantes reconocieron el valor de las contribuciones ajenas y experimentaron el beneficio de construir sobre las ideas de otros.</w:t>
      </w:r>
    </w:p>
    <w:p>
      <w:pPr>
        <w:pStyle w:val="Heading1"/>
      </w:pPr>
      <w:r>
        <w:t>Relación Individuo - Grupo - Organización</w:t>
      </w:r>
    </w:p>
    <w:p>
      <w:pPr>
        <w:jc w:val="both"/>
      </w:pPr>
      <w:r>
        <w:t>El análisis de la dinámica aplicada permite identificar tres niveles de interacción fundamentales:</w:t>
      </w:r>
    </w:p>
    <w:p>
      <w:pPr>
        <w:pStyle w:val="Heading2"/>
      </w:pPr>
      <w:r>
        <w:t>Nivel Individual</w:t>
      </w:r>
    </w:p>
    <w:p>
      <w:pPr>
        <w:jc w:val="both"/>
      </w:pPr>
      <w:r>
        <w:t>Cada individuo aportó su experiencia, conocimientos técnicos y creatividad al proceso. Los participantes trajeron consigo sus perspectivas únicas, moldeadas por sus trayectorias profesionales y personales. Durante la dinámica, se observó que aquellos individuos que inicialmente mostraban resistencia, gradualmente se involucraron al sentir que sus ideas eran valoradas y tomadas en cuenta.</w:t>
      </w:r>
    </w:p>
    <w:p>
      <w:pPr>
        <w:pStyle w:val="Heading2"/>
      </w:pPr>
      <w:r>
        <w:t>Nivel Grupal</w:t>
      </w:r>
    </w:p>
    <w:p>
      <w:pPr>
        <w:jc w:val="both"/>
      </w:pPr>
      <w:r>
        <w:t>El grupo funcionó como un espacio de integración, validación y enriquecimiento de las aportaciones individuales. Las ideas de un participante servían de inspiración para otros, generando un efecto multiplicador. El grupo apoyó y complementó las contribuciones individuales, transformando propuestas aisladas en soluciones más robustas y consensuadas. Se evidenció un tránsito de la resistencia inicial hacia la sinergia colaborativa.</w:t>
      </w:r>
    </w:p>
    <w:p>
      <w:pPr>
        <w:pStyle w:val="Heading2"/>
      </w:pPr>
      <w:r>
        <w:t>Nivel Organizacional</w:t>
      </w:r>
    </w:p>
    <w:p>
      <w:pPr>
        <w:jc w:val="both"/>
      </w:pPr>
      <w:r>
        <w:t>InnovaTech Solutions, como organización, facilitó las condiciones necesarias para que el trabajo colaborativo fuera posible. Esto incluyó la asignación de tiempo, espacio y recursos para la realización de la dinámica, así como el reconocimiento de la importancia de atender las problemáticas del equipo. La organización actuó como marco contenedor que legitimó y respaldó el proceso de mejora.</w:t>
      </w:r>
    </w:p>
    <w:p>
      <w:pPr>
        <w:pStyle w:val="Heading2"/>
      </w:pPr>
      <w:r>
        <w:t>Sinergia vs. Resistencia</w:t>
      </w:r>
    </w:p>
    <w:p>
      <w:pPr>
        <w:jc w:val="both"/>
      </w:pPr>
      <w:r>
        <w:t>Inicialmente predominó la resistencia, manifestada en escepticismo, falta de participación activa y actitudes defensivas. Sin embargo, la dinámica estructurada y el ambiente de respeto generado permitieron una transición progresiva hacia la sinergia. Al finalizar el ejercicio, el grupo demostró capacidad para trabajar de forma integrada, construyendo sobre las fortalezas individuales y organizacionales. Esta transformación evidencia que la resistencia no es permanente, sino que puede ser superada mediante intervenciones apropiadas que generen confianza y espacios de participación genuina.</w:t>
      </w:r>
    </w:p>
    <w:p>
      <w:pPr>
        <w:pStyle w:val="Heading1"/>
      </w:pPr>
      <w:r>
        <w:t>Conclusiones</w:t>
      </w:r>
    </w:p>
    <w:p>
      <w:pPr>
        <w:jc w:val="both"/>
      </w:pPr>
      <w:r>
        <w:t>1. La aplicación de la dinámica Brainwriting 6-3-5 permitió visibilizar tanto las barreras como las oportunidades de mejora presentes en el equipo de InnovaTech Solutions. Las tensiones derivadas del rápido crecimiento y la integración de nuevo personal fueron abordadas de manera constructiva.</w:t>
      </w:r>
    </w:p>
    <w:p>
      <w:pPr>
        <w:jc w:val="both"/>
      </w:pPr>
      <w:r>
        <w:t>2. Se logró generar cohesión y sentido de pertenencia entre los participantes. El ejercicio facilitó que miembros antiguos y nuevos colaboraran en igualdad de condiciones, reduciendo las brechas y fomentando la identificación con objetivos comunes.</w:t>
      </w:r>
    </w:p>
    <w:p>
      <w:pPr>
        <w:jc w:val="both"/>
      </w:pPr>
      <w:r>
        <w:t>3. La participación activa demostró ser un motor fundamental para impulsar la productividad. Al involucrar a todos en la generación de soluciones, se activó el compromiso y la responsabilidad compartida, elementos esenciales para la mejora del desempeño.</w:t>
      </w:r>
    </w:p>
    <w:p>
      <w:pPr>
        <w:jc w:val="both"/>
      </w:pPr>
      <w:r>
        <w:t>4. La dinámica evidenció que la resistencia al cambio puede ser superada mediante metodologías estructuradas que garanticen la equidad en la participación y la valoración de todas las voces.</w:t>
      </w:r>
    </w:p>
    <w:p>
      <w:pPr>
        <w:jc w:val="both"/>
      </w:pPr>
      <w:r>
        <w:t>5. El rol de la organización como facilitadora de espacios de colaboración resultó crucial. Sin el respaldo organizacional, las iniciativas de mejora a nivel grupal difícilmente prosperarían.</w:t>
      </w:r>
    </w:p>
    <w:p>
      <w:pPr>
        <w:jc w:val="both"/>
      </w:pPr>
      <w:r>
        <w:t>En síntesis, el caso demuestra que es posible transitar de la resistencia a la sinergia cuando se crean condiciones propicias para el diálogo, la participación y la construcción colectiva de soluciones.</w:t>
      </w:r>
    </w:p>
    <w:p>
      <w:pPr>
        <w:pStyle w:val="Heading1"/>
      </w:pPr>
      <w:r>
        <w:t>Recomendaciones</w:t>
      </w:r>
    </w:p>
    <w:p>
      <w:pPr>
        <w:jc w:val="both"/>
      </w:pPr>
      <w:r>
        <w:t>Con base en los hallazgos del caso de estudio, se proponen las siguientes acciones específicas para consolidar y ampliar los beneficios obtenidos:</w:t>
      </w:r>
    </w:p>
    <w:p>
      <w:pPr>
        <w:jc w:val="both"/>
      </w:pPr>
      <w:r>
        <w:t xml:space="preserve">1. </w:t>
      </w:r>
      <w:r>
        <w:rPr>
          <w:b/>
        </w:rPr>
        <w:t>Repetir dinámicas grupales mensuales:</w:t>
      </w:r>
      <w:r>
        <w:t xml:space="preserve"> Institucionalizar sesiones periódicas de trabajo colaborativo utilizando diversas técnicas (además del Brainwriting, pueden incorporarse World Café, Design Thinking, o técnicas de retrospectiva). Estas sesiones mantendrán activos los canales de comunicación, prevendrán la reaparición de tensiones y promoverán la mejora continua.</w:t>
      </w:r>
    </w:p>
    <w:p>
      <w:pPr>
        <w:jc w:val="both"/>
      </w:pPr>
      <w:r>
        <w:t xml:space="preserve">2. </w:t>
      </w:r>
      <w:r>
        <w:rPr>
          <w:b/>
        </w:rPr>
        <w:t>Implementar formación en comunicación asertiva:</w:t>
      </w:r>
      <w:r>
        <w:t xml:space="preserve"> Capacitar al personal en habilidades de comunicación efectiva, escucha activa, manejo de conflictos y retroalimentación constructiva. Esto dotará al equipo de herramientas para gestionar diferencias de manera productiva y prevenir malentendidos.</w:t>
      </w:r>
    </w:p>
    <w:p>
      <w:pPr>
        <w:jc w:val="both"/>
      </w:pPr>
      <w:r>
        <w:t xml:space="preserve">3. </w:t>
      </w:r>
      <w:r>
        <w:rPr>
          <w:b/>
        </w:rPr>
        <w:t>Establecer seguimiento sistemático al clima organizacional:</w:t>
      </w:r>
      <w:r>
        <w:t xml:space="preserve"> Aplicar encuestas periódicas de clima laboral, realizar focus groups y mantener canales abiertos de retroalimentación. El monitoreo constante permitirá detectar tempranamente señales de deterioro y actuar proactivamente.</w:t>
      </w:r>
    </w:p>
    <w:p>
      <w:pPr>
        <w:jc w:val="both"/>
      </w:pPr>
      <w:r>
        <w:t xml:space="preserve">4. </w:t>
      </w:r>
      <w:r>
        <w:rPr>
          <w:b/>
        </w:rPr>
        <w:t>Crear espacios de integración informal:</w:t>
      </w:r>
      <w:r>
        <w:t xml:space="preserve"> Complementar las dinámicas estructuradas con actividades de convivencia menos formales (almuerzos, eventos sociales, actividades recreativas) que fortalezcan los vínculos interpersonales y humanicen las relaciones laborales.</w:t>
      </w:r>
    </w:p>
    <w:p>
      <w:pPr>
        <w:jc w:val="both"/>
      </w:pPr>
      <w:r>
        <w:t xml:space="preserve">5. </w:t>
      </w:r>
      <w:r>
        <w:rPr>
          <w:b/>
        </w:rPr>
        <w:t>Definir roles y responsabilidades con claridad:</w:t>
      </w:r>
      <w:r>
        <w:t xml:space="preserve"> Revisar y comunicar de forma transparente las funciones de cada miembro del equipo, especialmente ante la incorporación de nuevo personal. Esto reducirá la ambigüedad y los conflictos derivados de expectativas no alineadas.</w:t>
      </w:r>
    </w:p>
    <w:p>
      <w:pPr>
        <w:jc w:val="both"/>
      </w:pPr>
      <w:r>
        <w:t xml:space="preserve">6. </w:t>
      </w:r>
      <w:r>
        <w:rPr>
          <w:b/>
        </w:rPr>
        <w:t>Establecer mecanismos de reconocimiento:</w:t>
      </w:r>
      <w:r>
        <w:t xml:space="preserve"> Implementar sistemas de reconocimiento a las contribuciones individuales y colectivas. El reconocimiento refuerza comportamientos positivos y fortalece la motivación.</w:t>
      </w:r>
    </w:p>
    <w:p>
      <w:pPr>
        <w:jc w:val="both"/>
      </w:pPr>
      <w:r>
        <w:t xml:space="preserve">7. </w:t>
      </w:r>
      <w:r>
        <w:rPr>
          <w:b/>
        </w:rPr>
        <w:t>Designar facilitadores o mediadores internos:</w:t>
      </w:r>
      <w:r>
        <w:t xml:space="preserve"> Formar a algunos miembros del equipo en técnicas de facilitación y mediación, para que puedan intervenir tempranamente ante conflictos o disfunciones, sin necesidad de recurrir siempre a intervenciones externas.</w:t>
      </w:r>
    </w:p>
    <w:p>
      <w:pPr>
        <w:jc w:val="both"/>
      </w:pPr>
      <w:r>
        <w:t>Estas recomendaciones buscan consolidar una cultura organizacional basada en la colaboración, la comunicación efectiva y el aprendizaje continuo, elementos fundamentales para sostener el crecimiento de InnovaTech Solutions sin sacrificar la cohesión y el bienestar del equipo.</w:t>
      </w:r>
    </w:p>
    <w:p>
      <w:r>
        <w:br w:type="page"/>
      </w:r>
    </w:p>
    <w:p>
      <w:pPr>
        <w:pStyle w:val="Heading1"/>
      </w:pPr>
      <w:r>
        <w:t>Anexos</w:t>
      </w:r>
    </w:p>
    <w:p>
      <w:pPr>
        <w:pStyle w:val="Heading2"/>
      </w:pPr>
      <w:r>
        <w:t>Anexo 1: Resumen visual de la dinámica Brainwriting 6-3-5</w:t>
      </w:r>
    </w:p>
    <w:tbl>
      <w:tblPr>
        <w:tblStyle w:val="LightGrid-Accent1"/>
        <w:tblW w:type="auto" w:w="0"/>
        <w:tblLook w:firstColumn="1" w:firstRow="1" w:lastColumn="0" w:lastRow="0" w:noHBand="0" w:noVBand="1" w:val="04A0"/>
      </w:tblPr>
      <w:tblGrid>
        <w:gridCol w:w="4680"/>
        <w:gridCol w:w="4680"/>
      </w:tblGrid>
      <w:tr>
        <w:tc>
          <w:tcPr>
            <w:tcW w:type="dxa" w:w="4680"/>
          </w:tcPr>
          <w:p>
            <w:r>
              <w:rPr>
                <w:b/>
              </w:rPr>
              <w:t>Participantes</w:t>
            </w:r>
          </w:p>
        </w:tc>
        <w:tc>
          <w:tcPr>
            <w:tcW w:type="dxa" w:w="4680"/>
          </w:tcPr>
          <w:p>
            <w:r>
              <w:t>6 personas</w:t>
            </w:r>
          </w:p>
        </w:tc>
      </w:tr>
      <w:tr>
        <w:tc>
          <w:tcPr>
            <w:tcW w:type="dxa" w:w="4680"/>
          </w:tcPr>
          <w:p>
            <w:r>
              <w:rPr>
                <w:b/>
              </w:rPr>
              <w:t>Ideas por ronda</w:t>
            </w:r>
          </w:p>
        </w:tc>
        <w:tc>
          <w:tcPr>
            <w:tcW w:type="dxa" w:w="4680"/>
          </w:tcPr>
          <w:p>
            <w:r>
              <w:t>3 ideas por persona</w:t>
            </w:r>
          </w:p>
        </w:tc>
      </w:tr>
      <w:tr>
        <w:tc>
          <w:tcPr>
            <w:tcW w:type="dxa" w:w="4680"/>
          </w:tcPr>
          <w:p>
            <w:r>
              <w:rPr>
                <w:b/>
              </w:rPr>
              <w:t>Número de rondas</w:t>
            </w:r>
          </w:p>
        </w:tc>
        <w:tc>
          <w:tcPr>
            <w:tcW w:type="dxa" w:w="4680"/>
          </w:tcPr>
          <w:p>
            <w:r>
              <w:t>5 rondas</w:t>
            </w:r>
          </w:p>
        </w:tc>
      </w:tr>
      <w:tr>
        <w:tc>
          <w:tcPr>
            <w:tcW w:type="dxa" w:w="4680"/>
          </w:tcPr>
          <w:p>
            <w:r>
              <w:rPr>
                <w:b/>
              </w:rPr>
              <w:t>Tiempo total</w:t>
            </w:r>
          </w:p>
        </w:tc>
        <w:tc>
          <w:tcPr>
            <w:tcW w:type="dxa" w:w="4680"/>
          </w:tcPr>
          <w:p>
            <w:r>
              <w:t>30 minutos</w:t>
            </w:r>
          </w:p>
        </w:tc>
      </w:tr>
      <w:tr>
        <w:tc>
          <w:tcPr>
            <w:tcW w:type="dxa" w:w="4680"/>
          </w:tcPr>
          <w:p>
            <w:r>
              <w:rPr>
                <w:b/>
              </w:rPr>
              <w:t>Total de ideas generadas</w:t>
            </w:r>
          </w:p>
        </w:tc>
        <w:tc>
          <w:tcPr>
            <w:tcW w:type="dxa" w:w="4680"/>
          </w:tcPr>
          <w:p>
            <w:r>
              <w:t>108 ideas compartidas</w:t>
            </w:r>
          </w:p>
        </w:tc>
      </w:tr>
    </w:tbl>
    <w:p/>
    <w:p>
      <w:pPr>
        <w:pStyle w:val="Heading2"/>
      </w:pPr>
      <w:r>
        <w:t>Anexo 2: Características del grupo identificadas</w:t>
      </w:r>
    </w:p>
    <w:tbl>
      <w:tblPr>
        <w:tblStyle w:val="LightGrid-Accent1"/>
        <w:tblW w:type="auto" w:w="0"/>
        <w:tblLook w:firstColumn="1" w:firstRow="1" w:lastColumn="0" w:lastRow="0" w:noHBand="0" w:noVBand="1" w:val="04A0"/>
      </w:tblPr>
      <w:tblGrid>
        <w:gridCol w:w="4680"/>
        <w:gridCol w:w="4680"/>
      </w:tblGrid>
      <w:tr>
        <w:tc>
          <w:tcPr>
            <w:tcW w:type="dxa" w:w="4680"/>
          </w:tcPr>
          <w:p>
            <w:r>
              <w:rPr>
                <w:b/>
              </w:rPr>
              <w:t>Aspecto</w:t>
            </w:r>
          </w:p>
        </w:tc>
        <w:tc>
          <w:tcPr>
            <w:tcW w:type="dxa" w:w="4680"/>
          </w:tcPr>
          <w:p>
            <w:r>
              <w:rPr>
                <w:b/>
              </w:rPr>
              <w:t>Observación</w:t>
            </w:r>
          </w:p>
        </w:tc>
      </w:tr>
      <w:tr>
        <w:tc>
          <w:tcPr>
            <w:tcW w:type="dxa" w:w="4680"/>
          </w:tcPr>
          <w:p>
            <w:r>
              <w:t>Diversidad</w:t>
            </w:r>
          </w:p>
        </w:tc>
        <w:tc>
          <w:tcPr>
            <w:tcW w:type="dxa" w:w="4680"/>
          </w:tcPr>
          <w:p>
            <w:r>
              <w:t>Perfiles heterogéneos (antiguos y nuevos miembros)</w:t>
            </w:r>
          </w:p>
        </w:tc>
      </w:tr>
      <w:tr>
        <w:tc>
          <w:tcPr>
            <w:tcW w:type="dxa" w:w="4680"/>
          </w:tcPr>
          <w:p>
            <w:r>
              <w:t>Roles emergentes</w:t>
            </w:r>
          </w:p>
        </w:tc>
        <w:tc>
          <w:tcPr>
            <w:tcW w:type="dxa" w:w="4680"/>
          </w:tcPr>
          <w:p>
            <w:r>
              <w:t>Facilitador y cohesionador</w:t>
            </w:r>
          </w:p>
        </w:tc>
      </w:tr>
      <w:tr>
        <w:tc>
          <w:tcPr>
            <w:tcW w:type="dxa" w:w="4680"/>
          </w:tcPr>
          <w:p>
            <w:r>
              <w:t>Actitud inicial</w:t>
            </w:r>
          </w:p>
        </w:tc>
        <w:tc>
          <w:tcPr>
            <w:tcW w:type="dxa" w:w="4680"/>
          </w:tcPr>
          <w:p>
            <w:r>
              <w:t>Resistencia en algunos miembros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