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sz w:val="20"/>
        </w:rPr>
        <w:t>Tabla 2</w:t>
      </w:r>
    </w:p>
    <w:p>
      <w:pPr>
        <w:spacing w:after="120"/>
      </w:pPr>
      <w:r>
        <w:rPr>
          <w:rFonts w:ascii="Times New Roman" w:hAnsi="Times New Roman"/>
          <w:sz w:val="20"/>
        </w:rPr>
        <w:t>Variables utilizadas en el estudio.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tcBorders>
              <w:top w:val="single" w:sz="14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Tipo</w:t>
            </w:r>
          </w:p>
        </w:tc>
        <w:tc>
          <w:tcPr>
            <w:tcW w:type="dxa" w:w="1800"/>
            <w:tcBorders>
              <w:top w:val="single" w:sz="14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Categoría</w:t>
            </w:r>
          </w:p>
        </w:tc>
        <w:tc>
          <w:tcPr>
            <w:tcW w:type="dxa" w:w="5832"/>
            <w:tcBorders>
              <w:top w:val="single" w:sz="14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Variaciones de la variable</w:t>
            </w:r>
          </w:p>
        </w:tc>
        <w:tc>
          <w:tcPr>
            <w:tcW w:type="dxa" w:w="1800"/>
            <w:tcBorders>
              <w:top w:val="single" w:sz="14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Fuente</w:t>
            </w:r>
          </w:p>
        </w:tc>
      </w:tr>
      <w:tr>
        <w:tc>
          <w:tcPr>
            <w:tcW w:type="dxa" w:w="223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top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Recencia, frecuencia y valor monetario (RFM)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Recencia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Meses desde la compra previa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meses_desde_compra_previa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); recencia ponderada por la actividad reciente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recencia_norm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Datos de pedidos</w:t>
            </w:r>
          </w:p>
        </w:tc>
      </w:tr>
      <w:tr>
        <w:tc>
          <w:tcPr>
            <w:tcW w:type="dxa" w:w="248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Frecuencia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Meses activos y nº de pedidos por ventana u3/u6/u12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meses_activos_u{3,6,12}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n_ped_u{3,6,12}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); intensidad = pedidos por mes activo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intensidad_u3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); actividad reciente vs. histórica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tasa_act_reciente_vs_hist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Datos de pedidos</w:t>
            </w:r>
          </w:p>
        </w:tc>
      </w:tr>
      <w:tr>
        <w:tc>
          <w:tcPr>
            <w:tcW w:type="dxa" w:w="248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0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Valor monetario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Monto por ventana u3/u6/u12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monto_u{3,6,12}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); media, desviación estándar y coeficiente de variación a 12 m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monto_mean_u12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monto_std_u12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monto_cv_u12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); último mes vs. media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monto_ult_vs_media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); ticket promedio u3/u12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ticket_prom_u3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ticket_prom_u12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Datos de pedidos</w:t>
            </w:r>
          </w:p>
        </w:tc>
      </w:tr>
      <w:tr>
        <w:tc>
          <w:tcPr>
            <w:tcW w:type="dxa" w:w="223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top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Dinámica temporal (tendencias y deltas)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Tendencia normalizada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Cambio relativo reciente vs. previo en [−1, 1], u3 vs. prev3, para monto y nº de pedidos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tend_monto_u3_vs_prev3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tend_nped_u3_vs_prev3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Datos de pedidos</w:t>
            </w:r>
          </w:p>
        </w:tc>
      </w:tr>
      <w:tr>
        <w:tc>
          <w:tcPr>
            <w:tcW w:type="dxa" w:w="248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0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Delta features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Diferencia del mes vigente respecto al mes mt−n, con n ∈ {1, 3, 6, 9, 12}, para monto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d_monto_m{1,3,6,9,12}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 y nº de pedidos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d_nped_m{1,3,6,9,12}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Datos de pedidos</w:t>
            </w:r>
          </w:p>
        </w:tc>
      </w:tr>
      <w:tr>
        <w:tc>
          <w:tcPr>
            <w:tcW w:type="dxa" w:w="223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top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Features acumulativas (relación de largo plazo)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Volumen histórico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Monto, nº de pedidos y nº de productos acumulados sobre toda la historia hasta t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monto_acum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n_ped_acum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n_prod_acum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Datos de pedidos</w:t>
            </w:r>
          </w:p>
        </w:tc>
      </w:tr>
      <w:tr>
        <w:tc>
          <w:tcPr>
            <w:tcW w:type="dxa" w:w="248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0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Intensidad histórica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Ticket histórico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ticket_acum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), monto por producto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monto_por_prod_acum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 y monto por mes activo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monto_mensual_acum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Datos de pedidos</w:t>
            </w:r>
          </w:p>
        </w:tc>
      </w:tr>
      <w:tr>
        <w:tc>
          <w:tcPr>
            <w:tcW w:type="dxa" w:w="2232"/>
            <w:tcBorders>
              <w:top w:val="nil"/>
              <w:left w:val="nil"/>
              <w:bottom w:val="single" w:sz="4" w:space="0" w:color="000000"/>
              <w:right w:val="nil"/>
            </w:tcBorders>
            <w:vAlign w:val="top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Diversidad de producto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Amplitud de catálogo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Productos distintos a 12 m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n_prod_u12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); máx. de categorías por mes a 12 m y de por vida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n_cat_max_u12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n_cat_max_acum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); productos por pedido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basket_size_u12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Datos de pedidos + maestro de productos</w:t>
            </w:r>
          </w:p>
        </w:tc>
      </w:tr>
      <w:tr>
        <w:tc>
          <w:tcPr>
            <w:tcW w:type="dxa" w:w="2232"/>
            <w:vMerge w:val="restart"/>
            <w:tcBorders>
              <w:top w:val="nil"/>
              <w:left w:val="nil"/>
              <w:bottom w:val="single" w:sz="14" w:space="0" w:color="000000"/>
              <w:right w:val="nil"/>
            </w:tcBorders>
            <w:vAlign w:val="top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Antigüedad y contexto (datos maestros)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Antigüedad de la relación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Meses desde la fecha de ingreso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antiguedad_meses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); meses activos en todo el historial previo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compras_hist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Maestro de vendedoras</w:t>
            </w:r>
          </w:p>
        </w:tc>
      </w:tr>
      <w:tr>
        <w:tc>
          <w:tcPr>
            <w:tcW w:type="dxa" w:w="248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Perfil de la vendedora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Sexo F/M/OTRO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sexo_*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 y rol comercial Asesora/Líder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tipo_vendedor_*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), codificados one-hot.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Maestro de vendedoras</w:t>
            </w:r>
          </w:p>
        </w:tc>
      </w:tr>
      <w:tr>
        <w:tc>
          <w:tcPr>
            <w:tcW w:type="dxa" w:w="248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00"/>
            <w:tcBorders>
              <w:top w:val="nil"/>
              <w:left w:val="nil"/>
              <w:bottom w:val="single" w:sz="1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Ubicación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1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Departamento de operación, codificado one-hot (</w:t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</w:rPr>
              <w:t>departamento_*</w:t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).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14" w:space="0" w:color="000000"/>
              <w:right w:val="nil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color w:val="000000"/>
                <w:sz w:val="18"/>
              </w:rPr>
              <w:t>Maestro de ubicación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color w:val="202020"/>
          <w:sz w:val="16"/>
        </w:rPr>
        <w:t>Notas. Granularidad: una fila por (id_vendedor, mes_obs), mes calendario. Ventana de features w = 12 meses hacia atrás [t-11 … t]. Etiqueta: churn = 1 si la vendedora no compra en ninguno de los 6 meses siguientes [t+1 … t+6]. Sufijos u3/u6/u12 = últimos 3/6/12 meses. Fuentes: «Datos de pedidos» = fact_pedidos y fact_pedidos_detalle; «Maestros» = dim_vendedor, dim_ubicacion, dim_producto.</w:t>
      </w:r>
    </w:p>
    <w:p>
      <w:pPr>
        <w:spacing w:after="60"/>
      </w:pPr>
      <w:r>
        <w:rPr>
          <w:rFonts w:ascii="Times New Roman" w:hAnsi="Times New Roman"/>
          <w:color w:val="202020"/>
          <w:sz w:val="16"/>
        </w:rPr>
        <w:t>El conjunto final seleccionado (importancia por permutación &gt; 0 en train) comprende 41 variables numéricas más 3 categóricas de contexto (sexo, tipo_vendedor, departamento) que, tras la codificación one-hot, expanden a 68 columnas. Las variables edad y provincia se calculan pero no se usan en el modelo. Las features acumulativas y delta siguen a Mirkovic (2022); el esquema RFM y la etiqueta de 6 meses, a Gattermann-Itschert &amp; Thonemann (2021).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