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ab/>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Universidad de Lima</w:t>
      </w:r>
    </w:p>
    <w:p w:rsidR="00000000" w:rsidDel="00000000" w:rsidP="00000000" w:rsidRDefault="00000000" w:rsidRPr="00000000" w14:paraId="00000004">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Carrera de Ingeniería de Sistemas</w:t>
      </w:r>
    </w:p>
    <w:p w:rsidR="00000000" w:rsidDel="00000000" w:rsidP="00000000" w:rsidRDefault="00000000" w:rsidRPr="00000000" w14:paraId="00000006">
      <w:pPr>
        <w:spacing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2"/>
          <w:szCs w:val="22"/>
        </w:rPr>
        <w:drawing>
          <wp:inline distB="0" distT="0" distL="0" distR="0">
            <wp:extent cx="1252220" cy="1233805"/>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52220" cy="123380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b w:val="1"/>
          <w:bCs w:val="1"/>
          <w:smallCaps w:val="1"/>
          <w:sz w:val="40"/>
          <w:szCs w:val="40"/>
        </w:rPr>
      </w:pPr>
      <w:r w:rsidDel="00000000" w:rsidR="00000000" w:rsidRPr="00000000">
        <w:rPr>
          <w:b w:val="1"/>
          <w:bCs w:val="1"/>
          <w:smallCaps w:val="1"/>
          <w:sz w:val="40"/>
          <w:szCs w:val="40"/>
          <w:rtl w:val="0"/>
        </w:rPr>
        <w:t xml:space="preserve">MODELO BASADO EN MACHINE LEARNING PARA PREDECIR EL ABANDONO DE CLIENTES EN PYME DE VENTA DIRECTA </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Trabajo de investigación para optar el Título Profesional de Ingeniero de Sistemas</w:t>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b w:val="1"/>
          <w:bCs w:val="1"/>
          <w:sz w:val="28"/>
          <w:szCs w:val="28"/>
          <w:rtl w:val="0"/>
        </w:rPr>
        <w:t xml:space="preserve">Carlos Escobar Arroyo Guillermo</w:t>
      </w:r>
      <w:r w:rsidDel="00000000" w:rsidR="00000000" w:rsidRPr="00000000">
        <w:rPr>
          <w:rtl w:val="0"/>
        </w:rPr>
      </w:r>
    </w:p>
    <w:p w:rsidR="00000000" w:rsidDel="00000000" w:rsidP="00000000" w:rsidRDefault="00000000" w:rsidRPr="00000000" w14:paraId="0000000E">
      <w:pPr>
        <w:spacing w:line="360" w:lineRule="auto"/>
        <w:jc w:val="center"/>
        <w:rPr>
          <w:b w:val="1"/>
          <w:bCs w:val="1"/>
          <w:sz w:val="28"/>
          <w:szCs w:val="28"/>
        </w:rPr>
      </w:pPr>
      <w:r w:rsidDel="00000000" w:rsidR="00000000" w:rsidRPr="00000000">
        <w:rPr>
          <w:b w:val="1"/>
          <w:bCs w:val="1"/>
          <w:sz w:val="28"/>
          <w:szCs w:val="28"/>
          <w:rtl w:val="0"/>
        </w:rPr>
        <w:t xml:space="preserve">Código 20224307</w:t>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8"/>
          <w:szCs w:val="28"/>
        </w:rPr>
      </w:pPr>
      <w:r w:rsidDel="00000000" w:rsidR="00000000" w:rsidRPr="00000000">
        <w:rPr>
          <w:b w:val="1"/>
          <w:bCs w:val="1"/>
          <w:sz w:val="28"/>
          <w:szCs w:val="28"/>
          <w:rtl w:val="0"/>
        </w:rPr>
        <w:t xml:space="preserve">Asesor</w:t>
      </w:r>
    </w:p>
    <w:p w:rsidR="00000000" w:rsidDel="00000000" w:rsidP="00000000" w:rsidRDefault="00000000" w:rsidRPr="00000000" w14:paraId="00000011">
      <w:pPr>
        <w:spacing w:line="360" w:lineRule="auto"/>
        <w:jc w:val="center"/>
        <w:rPr>
          <w:sz w:val="24"/>
          <w:szCs w:val="24"/>
        </w:rPr>
      </w:pPr>
      <w:r w:rsidDel="00000000" w:rsidR="00000000" w:rsidRPr="00000000">
        <w:rPr>
          <w:sz w:val="28"/>
          <w:szCs w:val="28"/>
          <w:rtl w:val="0"/>
        </w:rPr>
        <w:t xml:space="preserve">Lourdes Ramírez Cerna</w:t>
      </w: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sz w:val="24"/>
          <w:szCs w:val="24"/>
          <w:rtl w:val="0"/>
        </w:rPr>
        <w:t xml:space="preserve">Lima – Perú</w:t>
      </w:r>
    </w:p>
    <w:p w:rsidR="00000000" w:rsidDel="00000000" w:rsidP="00000000" w:rsidRDefault="00000000" w:rsidRPr="00000000" w14:paraId="00000015">
      <w:pPr>
        <w:jc w:val="center"/>
        <w:rPr>
          <w:b w:val="1"/>
          <w:bCs w:val="1"/>
          <w:sz w:val="32"/>
          <w:szCs w:val="32"/>
        </w:rPr>
        <w:sectPr>
          <w:headerReference r:id="rId10" w:type="default"/>
          <w:headerReference r:id="rId11" w:type="first"/>
          <w:headerReference r:id="rId12" w:type="even"/>
          <w:pgSz w:h="16838" w:w="11906" w:orient="portrait"/>
          <w:pgMar w:bottom="1440" w:top="1440" w:left="1440" w:right="1134" w:header="709" w:footer="709"/>
          <w:pgNumType w:start="1"/>
          <w:titlePg w:val="1"/>
        </w:sectPr>
      </w:pPr>
      <w:r w:rsidDel="00000000" w:rsidR="00000000" w:rsidRPr="00000000">
        <w:rPr>
          <w:color w:val="808080"/>
          <w:rtl w:val="0"/>
        </w:rPr>
        <w:t xml:space="preserve">Haga clic aquí o pulse para escribir una fecha.</w:t>
      </w:r>
      <w:r w:rsidDel="00000000" w:rsidR="00000000" w:rsidRPr="00000000">
        <w:rPr>
          <w:b w:val="1"/>
          <w:bCs w:val="1"/>
          <w:sz w:val="32"/>
          <w:szCs w:val="32"/>
          <w:rtl w:val="0"/>
        </w:rPr>
        <w:t xml:space="preserve"> </w:t>
      </w:r>
    </w:p>
    <w:p w:rsidR="00000000" w:rsidDel="00000000" w:rsidP="00000000" w:rsidRDefault="00000000" w:rsidRPr="00000000" w14:paraId="00000016">
      <w:pPr>
        <w:jc w:val="center"/>
        <w:rPr>
          <w:sz w:val="32"/>
          <w:szCs w:val="32"/>
        </w:rPr>
      </w:pPr>
      <w:r w:rsidDel="00000000" w:rsidR="00000000" w:rsidRPr="00000000">
        <w:rPr>
          <w:b w:val="1"/>
          <w:bCs w:val="1"/>
          <w:sz w:val="32"/>
          <w:szCs w:val="32"/>
          <w:rtl w:val="0"/>
        </w:rPr>
        <w:t xml:space="preserve">MODELO BASADO EN MACHINE LEARNING PARA PREDECIR EL ABANDONO DE CLIENTES EN CONTEXTO NO CONTRACTUAL: APLICACIÓN EN PYME PERUANA DE VENTA DIRECTA</w:t>
      </w:r>
      <w:r w:rsidDel="00000000" w:rsidR="00000000" w:rsidRPr="00000000">
        <w:rPr>
          <w:rtl w:val="0"/>
        </w:rPr>
      </w:r>
    </w:p>
    <w:p w:rsidR="00000000" w:rsidDel="00000000" w:rsidP="00000000" w:rsidRDefault="00000000" w:rsidRPr="00000000" w14:paraId="00000017">
      <w:pPr>
        <w:spacing w:after="0" w:lineRule="auto"/>
        <w:jc w:val="center"/>
        <w:rPr>
          <w:b w:val="1"/>
          <w:bCs w:val="1"/>
          <w:sz w:val="24"/>
          <w:szCs w:val="24"/>
        </w:rPr>
      </w:pPr>
      <w:r w:rsidDel="00000000" w:rsidR="00000000" w:rsidRPr="00000000">
        <w:rPr>
          <w:b w:val="1"/>
          <w:bCs w:val="1"/>
          <w:sz w:val="24"/>
          <w:szCs w:val="24"/>
          <w:rtl w:val="0"/>
        </w:rPr>
        <w:t xml:space="preserve">Carlos Guillermo Escobar Arroyo</w:t>
      </w:r>
    </w:p>
    <w:p w:rsidR="00000000" w:rsidDel="00000000" w:rsidP="00000000" w:rsidRDefault="00000000" w:rsidRPr="00000000" w14:paraId="00000018">
      <w:pPr>
        <w:spacing w:after="0" w:lineRule="auto"/>
        <w:jc w:val="center"/>
        <w:rPr>
          <w:sz w:val="24"/>
          <w:szCs w:val="24"/>
        </w:rPr>
      </w:pPr>
      <w:r w:rsidDel="00000000" w:rsidR="00000000" w:rsidRPr="00000000">
        <w:rPr>
          <w:sz w:val="24"/>
          <w:szCs w:val="24"/>
          <w:rtl w:val="0"/>
        </w:rPr>
        <w:t xml:space="preserve">20224307@aloe.ulima.edu.pe </w:t>
      </w:r>
    </w:p>
    <w:p w:rsidR="00000000" w:rsidDel="00000000" w:rsidP="00000000" w:rsidRDefault="00000000" w:rsidRPr="00000000" w14:paraId="00000019">
      <w:pPr>
        <w:spacing w:after="0" w:lineRule="auto"/>
        <w:jc w:val="center"/>
        <w:rPr>
          <w:i w:val="1"/>
          <w:iCs w:val="1"/>
          <w:color w:val="808080"/>
          <w:sz w:val="22"/>
          <w:szCs w:val="22"/>
        </w:rPr>
      </w:pPr>
      <w:r w:rsidDel="00000000" w:rsidR="00000000" w:rsidRPr="00000000">
        <w:rPr>
          <w:sz w:val="24"/>
          <w:szCs w:val="24"/>
          <w:rtl w:val="0"/>
        </w:rPr>
        <w:t xml:space="preserve">Universidad de Lima</w:t>
      </w:r>
      <w:r w:rsidDel="00000000" w:rsidR="00000000" w:rsidRPr="00000000">
        <w:rPr>
          <w:rtl w:val="0"/>
        </w:rPr>
      </w:r>
    </w:p>
    <w:p w:rsidR="00000000" w:rsidDel="00000000" w:rsidP="00000000" w:rsidRDefault="00000000" w:rsidRPr="00000000" w14:paraId="0000001A">
      <w:pPr>
        <w:jc w:val="left"/>
        <w:rPr>
          <w:b w:val="1"/>
          <w:bCs w:val="1"/>
          <w:sz w:val="24"/>
          <w:szCs w:val="24"/>
        </w:rPr>
      </w:pPr>
      <w:r w:rsidDel="00000000" w:rsidR="00000000" w:rsidRPr="00000000">
        <w:rPr>
          <w:rtl w:val="0"/>
        </w:rPr>
      </w:r>
    </w:p>
    <w:p w:rsidR="00000000" w:rsidDel="00000000" w:rsidP="00000000" w:rsidRDefault="00000000" w:rsidRPr="00000000" w14:paraId="0000001B">
      <w:pPr>
        <w:jc w:val="left"/>
        <w:rPr>
          <w:b w:val="1"/>
          <w:bCs w:val="1"/>
          <w:sz w:val="24"/>
          <w:szCs w:val="24"/>
        </w:rPr>
      </w:pPr>
      <w:r w:rsidDel="00000000" w:rsidR="00000000" w:rsidRPr="00000000">
        <w:rPr>
          <w:b w:val="1"/>
          <w:bCs w:val="1"/>
          <w:sz w:val="24"/>
          <w:szCs w:val="24"/>
          <w:rtl w:val="0"/>
        </w:rPr>
        <w:t xml:space="preserve">Resumen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El resumen debe presentar una síntesis estructurada del artículo, destacando el problema de investigación, su relevancia científica o aplicada y el contexto en el que se enmarca. Debe explicitar de forma clara la pregunta de investigación u objetivo principal, la metodología empleada (tipo de estudio, enfoque, diseño y técnicas principales) y los hallazgos más relevantes, incluyendo resultados cuantitativos o cualitativos clave cuando corresponda.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 permitir al lector comprender el aporte del trabajo sin necesidad de consultar el documento completo. Evite citas bibliográficas, notas al pie o abreviaturas no estandarizadas. Se recomienda una extensión máxima de 250 palabras con estructura lógica implícita (contexto–problema–método–resultado–conclusión).]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Palabras clave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sdt>
        <w:sdtPr>
          <w:id w:val="473055381"/>
          <w:tag w:val="goog_rdk_0"/>
        </w:sdtPr>
        <w:sdtContent>
          <w:commentRangeStart w:id="0"/>
        </w:sdtContent>
      </w:sdt>
      <w:r w:rsidDel="00000000" w:rsidR="00000000" w:rsidRPr="00000000">
        <w:rPr>
          <w:b w:val="1"/>
          <w:bCs w:val="1"/>
          <w:sz w:val="24"/>
          <w:szCs w:val="24"/>
          <w:rtl w:val="0"/>
        </w:rPr>
        <w:t xml:space="preserve">[</w:t>
      </w:r>
      <w:r w:rsidDel="00000000" w:rsidR="00000000" w:rsidRPr="00000000">
        <w:rPr>
          <w:sz w:val="24"/>
          <w:szCs w:val="24"/>
          <w:rtl w:val="0"/>
        </w:rPr>
        <w:t xml:space="preserve">Seleccione entre 5 y 7 palabras clave que representen los ejes conceptuales centrales del estudio. Estas deben estar alineadas con tesauros académicos (p. ej., ACM Computing Classification System, IEEE Taxonomy o Scopus Keywords) para mejorar la indexación. Deben ser términos específicos y no genéricos, evitando redundancia con el título. No incluir definiciones ni frases extensas</w:t>
      </w:r>
      <w:r w:rsidDel="00000000" w:rsidR="00000000" w:rsidRPr="00000000">
        <w:rPr>
          <w:b w:val="1"/>
          <w:bCs w:val="1"/>
          <w:sz w:val="24"/>
          <w:szCs w:val="24"/>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spacing w:after="120" w:line="240" w:lineRule="auto"/>
        <w:jc w:val="both"/>
        <w:rPr>
          <w:sz w:val="24"/>
          <w:szCs w:val="24"/>
        </w:rPr>
      </w:pPr>
      <w:r w:rsidDel="00000000" w:rsidR="00000000" w:rsidRPr="00000000">
        <w:rPr>
          <w:b w:val="1"/>
          <w:bCs w:val="1"/>
          <w:sz w:val="24"/>
          <w:szCs w:val="24"/>
          <w:rtl w:val="0"/>
        </w:rPr>
        <w:t xml:space="preserve">Abstract: [</w:t>
      </w:r>
      <w:r w:rsidDel="00000000" w:rsidR="00000000" w:rsidRPr="00000000">
        <w:rPr>
          <w:sz w:val="24"/>
          <w:szCs w:val="24"/>
          <w:rtl w:val="0"/>
        </w:rPr>
        <w:t xml:space="preserve">Es la traducción al inglés del resumen del ítem anterior].</w:t>
      </w:r>
    </w:p>
    <w:p w:rsidR="00000000" w:rsidDel="00000000" w:rsidP="00000000" w:rsidRDefault="00000000" w:rsidRPr="00000000" w14:paraId="00000023">
      <w:pPr>
        <w:spacing w:after="120" w:line="240" w:lineRule="auto"/>
        <w:jc w:val="both"/>
        <w:rPr>
          <w:b w:val="1"/>
          <w:bCs w:val="1"/>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[Listado de palabras clave, en inglés].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bCs w:val="1"/>
          <w:sz w:val="24"/>
          <w:szCs w:val="24"/>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retención de clientes es un factor crítico para la sostenibilidad de cualquier empresa, pues adquirir un nuevo cliente puede ser varias veces más costoso que retener a uno existente  (Mirkovic et al., 2022). El abandono o churn de clientes ocurre cuando un cliente deja de realizar compras o renovar servicios con una compañía, fenómeno que impacta directamente en los ingresos de la organización (Gattermann-Itschert &amp; Thonemann, 2022). En entornos no contractuales, donde no existen contratos formales que establezca la relación entre empresa y cliente como ocurre en la venta directa o el comercio mayorista, el problema se vuelve aún más complejo, debido a que el abandono no se manifiesta mediante un evento explícito, sino a través de cambios graduales en el comportamiento de compra del cliente (Buckinx &amp; Van den Poel, 2005).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el Perú, las micro, pequeñas y medianas empresas (MIPYME) representan el 99,4% del tejido empresarial formal, generan más del 61% del empleo y aportan cerca del 28% del PBI nacional (Ministerio de la Producción [PRODUCE], 2023). Dentro de este marco, el sector de venta directa ha consolidado un crecimiento sostenido: en 2025 movilizó S/ 3 899 millones entre enero y septiembre, con un crecimiento del 8,3% respecto al año previo, e involucró a más de 565 000 empresarios independientes, según la Cámara Peruana de Venta Directa (Capevedi, 2025). Este canal aporta el 0,8% al PBI nacional y el 7,7% al PBI del comercio, lo que evidencia su importancia económica y social.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este contexto, el canal de venta directa peruano enfrenta un desafío particular: al operar bajo un esquema no contractual, las MIPYME no tienen un mecanismo analítico para identificar las señales de abandono de sus clientes, lo que compromete la sostenibilidad de la empresa. Además, no cuentan con un avance tecnológico de vanguardia, pues su desarrollo avanza lentamente, debido a que la analitica avanzada requiere orden tecnológico, políticas de datos y recolección constante de información, aspectos que aún no son prioridad frente a lo comercial y operativo (Galeas, 2026, citado en Seclen, 2026). Esta situación evidencia la necesidad de contar con herramientas analíticas que permitan anticipar el churn antes de que se materialice como pérdida efectiva.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Pese a estas limitaciones contextuales, la literatura internacional ha explorado diversos enfoques para la predicción de abandono de clientes, principalmente mediante modelos de machine learning como regresión logística e híbridos basados en árboles (De Caigny et al., 2018), random forests (Gattermann-Itschert &amp; Thonemann, 2022), gradient boosting (Janssens et al., 2024) y redes neuronales profundas (Mena et al., 2024), aplicando variables RFM (Recencia, Frecuencia, Valor Monetario) y comportamentales (Martínez et al., 2020; Mirkovic et al., 2022; Mena et al., 2024). Sin embargo, estas soluciones han sido llevadas a cabo mayoritariamente en sectores contractuales como telecomunicaciones, banca y servicios de suscripción (Höppner et al., 2020; Lemmens &amp; Gupta, 2020; Mena et al., 2024), donde la señal de abandono es explícita y los datos son abundantes. Asimismo, los entornos no contractuales han recibido atención considerablemente menor (Martínez et al., 2020; Mirkovic et al., 2022; Gattermann-Itschert &amp; Thonemann, 2022), y dentro de estos, el canal de venta directa en MIPYMES de economías emergentes permanece prácticamente inexplorado. Esta brecha es particularmente evidente en mercados como el peruano, donde coexisten alta informalidad, heterogeneidad de empresarios independientes y limitaciones en la calidad y volumen de los datos transaccionales.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Para resolver este vacío, la investigación propone implementar modelos de clasificación para predecir el abandono de clientes en una PYME peruana de venta directa de moda por catálogo B2C. De esta manera, la investigación busca contribuir metodológicamente al sector de venta directa de las MIPYME contribuyendo con una herramienta analítica que transforme la gestión reactiva del churn en una intervención preventiva basada en evidencia.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sdt>
        <w:sdtPr>
          <w:id w:val="752153898"/>
          <w:tag w:val="goog_rdk_1"/>
        </w:sdtPr>
        <w:sdtContent>
          <w:commentRangeStart w:id="1"/>
        </w:sdtContent>
      </w:sdt>
      <w:r w:rsidDel="00000000" w:rsidR="00000000" w:rsidRPr="00000000">
        <w:rPr>
          <w:sz w:val="24"/>
          <w:szCs w:val="24"/>
          <w:rtl w:val="0"/>
        </w:rPr>
        <w:t xml:space="preserve">El presente trabajo presenta una visión analítica del estado del arte en la intersección entre la inteligencia artificial y la aplicación de los modelos de predicción de abandono de clientes. Posteriormente, se detalla un diseño metodológico propuesto y los resultados esperados de la investigación. Finalmente, se colabora con las conclusiones extraídas de las investigaciones empíricas previas y se proponen futuras líneas de tr</w:t>
      </w:r>
      <w:r w:rsidDel="00000000" w:rsidR="00000000" w:rsidRPr="00000000">
        <w:rPr>
          <w:sz w:val="24"/>
          <w:szCs w:val="24"/>
          <w:rtl w:val="0"/>
        </w:rPr>
        <w:t xml:space="preserve">abajo.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bCs w:val="1"/>
          <w:sz w:val="24"/>
          <w:szCs w:val="24"/>
        </w:rPr>
      </w:pPr>
      <w:r w:rsidDel="00000000" w:rsidR="00000000" w:rsidRPr="00000000">
        <w:rPr>
          <w:b w:val="1"/>
          <w:bCs w:val="1"/>
          <w:sz w:val="24"/>
          <w:szCs w:val="24"/>
          <w:rtl w:val="0"/>
        </w:rPr>
        <w:t xml:space="preserve">TRABAJOS RELACIONADOS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 continuación, se examina críticamente la literatura empírica y teórica más relevante publicada entre 2020 y 2026 en torno a la predicción del abandono de clientes (customer churn) en entornos empresariales. Este análisis tiene como propósito consolidar un marco de referencia sólido que permita sustentar la pertinencia y la originalidad del enfoque propuesto en esta investigación.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sdt>
        <w:sdtPr>
          <w:id w:val="124114330"/>
          <w:tag w:val="goog_rdk_2"/>
        </w:sdtPr>
        <w:sdtContent>
          <w:commentRangeStart w:id="2"/>
        </w:sdtContent>
      </w:sdt>
      <w:sdt>
        <w:sdtPr>
          <w:id w:val="-418580264"/>
          <w:tag w:val="goog_rdk_3"/>
        </w:sdtPr>
        <w:sdtContent>
          <w:commentRangeStart w:id="3"/>
        </w:sdtContent>
      </w:sdt>
      <w:r w:rsidDel="00000000" w:rsidR="00000000" w:rsidRPr="00000000">
        <w:rPr>
          <w:b w:val="1"/>
          <w:bCs w:val="1"/>
          <w:sz w:val="24"/>
          <w:szCs w:val="24"/>
          <w:rtl w:val="0"/>
        </w:rPr>
        <w:t xml:space="preserve">2.1 El Churn en la Literatura</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la literatura reciente, se evidencia claramente que la definición del churn depende esencialmente de la naturaleza contractual o no contractual de la relación entre la empresa y sus clientes. En entornos contractuales, los trabajos de De Caigny, Coussement y De Bock (2018) y De Caigny, De Bock y Verboven (2024) toman la etiqueta de churn directamente del evento de cancelación o no renovación provisto por la empresa. Es así que el abandono se define de una manera explícita, con una confirmación clara del fin de la relación entre el cliente y la organización.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contraste, en contextos no contractuales, donde no existe un documento que formalice la relación entre la empresa y el cliente, el abandono ocurre de manera silenciosa, sin una señal explícita de término. Por ello, la etiqueta de churn debe construirse a partir de un umbral de inactividad. En la investigación de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definen como </w:t>
      </w:r>
      <w:r w:rsidDel="00000000" w:rsidR="00000000" w:rsidRPr="00000000">
        <w:rPr>
          <w:i w:val="1"/>
          <w:iCs w:val="1"/>
          <w:sz w:val="24"/>
          <w:szCs w:val="24"/>
          <w:rtl w:val="0"/>
        </w:rPr>
        <w:t xml:space="preserve">"churner" </w:t>
      </w:r>
      <w:r w:rsidDel="00000000" w:rsidR="00000000" w:rsidRPr="00000000">
        <w:rPr>
          <w:sz w:val="24"/>
          <w:szCs w:val="24"/>
          <w:rtl w:val="0"/>
        </w:rPr>
        <w:t xml:space="preserve">a quien no realiza compras durante tres meses consecutivos. Mirkovic et al. (2022) profundizan explícitamente en los efectos de la definición del churn, al evaluar simultáneamente tres definiciones: uno, dos y tres meses consecutivos sin compra, mostrando cómo la tasa de churn varía entre 4,72 % y 38,38 % según el umbral, y defienden que cada definición identifica un grupo distinto de clientes, con plazos de inactividad diferentes, lo que justifica diseñar campañas de retención específicas para cada caso.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2.2 Datos de Entrenamiento y Multi Slicing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los datos de entrenamiento para los modelos de predicción de abandono de clientes, estos provienen de diversos sectores y son en su mayoría datos transaccionales, provenientes de industrias como telecomunicaciones, banca y distribución B2B. Mena et al. (2024) cuentan con un dataset de aproximadamente 480.000 clientes de un proveedor europeo de servicios financieros durante 48 meses, mientras que Janssens et al. (2024) cuentan con información de más de 40.000 clientes B2B de un distribuidor de bebidas. Asimismo, Martínez et al. (2020) trabaja en un contexto no contractual sobre 192.470 transacciones de 10.136 clientes B2B. Es así que evidencia cómo la literatura actual trabaja con grandes volúmenes de datos, provenientes de grandes corporaciones.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Sin embargo, en el contexto de las PYMES, la cantidad de datos es más limitada, lo que afectaría en el entrenamiento del modelo. Frente a este escenario, la técnica de multi-time-slicing se presenta como un pilar fundamental para el presente trabajo. Gattermann-Itschert y Thonemann (2021) proponen desplazar repetidamente el origen de pronóstico hacia atrás en intervalos mensuales, de modo que cada cliente contribuye con múltiples ventanas temporales. Los autores demuestran que este enfoque cuenta con dos beneficios puntuales: por un lado, incrementa el tamaño efectivo del dataset de entrenamiento; por otro, expone al modelo a regímenes temporales heterogéneos, reduciendo el sobreajuste a una coyuntura particular. La evidencia empírica respalda su eficacia: Mirkovic et al. (2022) aplican esta técnica en su estudio, reportando mejoras significativas en el desempeño predictivo frente al enfoque tradicional de una sola ventana temporal.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Tomando en cuenta esta evidencia, la investigación utilizará un dataset transaccional de información de clientes provenientes de una empresa peruana de venta directa de moda por catálogo B2C, que abarca el período 2017–2026 y comprende más de 57 000 registros. Sobre este dataset se aplicará la técnica de multi-time-slicing, con el objetivo de incrementar el tamaño efectivo de la muestra de entrenamiento y exponer al modelo a múltiples regímenes temporales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2.3 Ingeniería de Variables y Técnicas de Preprocesamiento</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 la ingeniería de variables, la literatura de predicción de churn, sugiere la creación de medidas Recency, Frequency, Monetary (RFM ) dinámicas del comportamiento de compra del cliente. Martínez et al. (2020) proponen variables calculadas tomando en cuenta el tiempo como medias móviles del gasto del cliente, con el fin de capturar la tendencia, intensidad y recurrencia del mismo. Mirkovic et al. (2022) demuestran que, utilizando únicamente variables de facturación, es posible construir modelos altamente predictivos, combinando variables LRFM (Length, Recency, Frequency, Monetary), variables acumuladas como el monto total de venta del cliente, y variables que describen la evolución reciente de su comportamiento en los últimos meses.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al preprocesamiento, la literatura revisada respalda un conjunto de técnicas principales. De Caigny et al. (2018) eliminan registros con faltantes cuando la proporción es reducida, transforman variables categóricas mediante dummy encoding y realizan under-sampling exclusivamente sobre el entrenamiento. De la misma manera, De Caigny et al. (2024) imputan con mediana y moda, emplean dummy encoding para categorías de baja cardinalidad, estandarizan las variables y posteriormente aplican under-sampling. Mena et al. (2024) también se estandarizan usando únicamente en el conjunto de entrenamiento y tratan el desbalance mediante under-sampling. Mirkovic et al. (2022) utilizan únicamente la estandarización para algoritmos sensibles a la escala, como logistic regression y SVM. Asimismo,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muestran que el propio multi-slicing ayuda a mitigar la rareza del churn sin depender exclusivamente del remuestreo explícito.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b w:val="1"/>
          <w:bCs w:val="1"/>
          <w:sz w:val="24"/>
          <w:szCs w:val="24"/>
          <w:rtl w:val="0"/>
        </w:rPr>
        <w:t xml:space="preserve">2.4 Modelos de predicción de abandono y evaluación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los modelos de predicción utilizados para el churn, en la literatura reciente predominan los modelos </w:t>
      </w:r>
      <w:r w:rsidDel="00000000" w:rsidR="00000000" w:rsidRPr="00000000">
        <w:rPr>
          <w:sz w:val="24"/>
          <w:szCs w:val="24"/>
          <w:rtl w:val="0"/>
        </w:rPr>
        <w:t xml:space="preserve">ensemble</w:t>
      </w:r>
      <w:r w:rsidDel="00000000" w:rsidR="00000000" w:rsidRPr="00000000">
        <w:rPr>
          <w:sz w:val="24"/>
          <w:szCs w:val="24"/>
          <w:rtl w:val="0"/>
        </w:rPr>
        <w:t xml:space="preserve">, particularmente Random Forest y algoritmos derivados de Boosting. Mirkovic et al. (2022) demostraron que Random Forest superó a la regresión logística y a SVM, alcanzando un AUC de 0.91 bajo una definición de churn de dos meses, además de mostrar alta robustez frente a distintas definiciones de churn. De la misma manera, Gattermann-Itschert y Thonemann (2022) emplearon Random Forest en un experimento de campo, donde sus predicciones redujeron el abandono e incrementaron las ganancias de la empresa, con un AUC de 0.76. Esta evidencia posiciona a Random Forest como un algoritmo sólido para la predicción de churn. En contraste, la literatura también destaca el Stochastic Gradient Boosting: Lemmens y Gupta (2020) verificaron mediante experimentos de campo campañas de retención significativamente más rentables, con beneficios de €5 026.36 y $1 327.76 en dos estudios. Por su parte, Mena et al. (2024) presentaron un enfoque híbrido en dos etapas, integrando redes neuronales recurrentes sobre variables RFM para generar predicciones intermedias que luego se incorporaron como variable adicional al algoritmo XGBoost, alcanzando un AUC de hasta 0.84. En conjunto, estos hallazgos evidencian que la literatura ha evolucionado desde modelos tradicionales hacia modelos ensemble (técnicas que combinan las predicciones de múltiples modelos base para obtener un resultado más robusto y preciso que el de cualquier modelo individual), incluso reforzados con predicciones intermedias de redes neuronales.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 la evaluación de estos modelos, la literatura ha consolidado el AUC-ROC como la métrica principal, debido a su insensibilidad ante el desbalance de clases y a su carácter threshold-free, que evita comprometerse con un único punto de corte (Mena et al., 2024; Mirkovic et al., 2022). Esta elección es transversal: aparece tanto en estudios con modelos tradicionales (Gattermann-Itschert y Thonemann, 2022) como en los que emplean redes neuronales (Mena et al., 2024). Respecto a los esquemas de validación, los trabajos recientes se apoyan en la separación temporal entre los conjuntos de entrenamiento y test, conocida como out-of-period testing, con el fin de reflejar de la forma más fiel posible las condiciones reales de despliegue (Gattermann-Itschert y Thonemann, 2021; Mirkovic et al., 2022).</w:t>
      </w:r>
    </w:p>
    <w:p w:rsidR="00000000" w:rsidDel="00000000" w:rsidP="00000000" w:rsidRDefault="00000000" w:rsidRPr="00000000" w14:paraId="00000040">
      <w:pPr>
        <w:spacing w:after="40" w:before="200" w:lineRule="auto"/>
        <w:jc w:val="both"/>
        <w:rPr>
          <w:b w:val="1"/>
          <w:bCs w:val="1"/>
          <w:sz w:val="24"/>
          <w:szCs w:val="24"/>
        </w:rPr>
      </w:pPr>
      <w:r w:rsidDel="00000000" w:rsidR="00000000" w:rsidRPr="00000000">
        <w:rPr>
          <w:b w:val="1"/>
          <w:bCs w:val="1"/>
          <w:sz w:val="24"/>
          <w:szCs w:val="24"/>
          <w:rtl w:val="0"/>
        </w:rPr>
        <w:t xml:space="preserve">Tabla 2.1</w:t>
      </w:r>
    </w:p>
    <w:p w:rsidR="00000000" w:rsidDel="00000000" w:rsidP="00000000" w:rsidRDefault="00000000" w:rsidRPr="00000000" w14:paraId="00000041">
      <w:pPr>
        <w:spacing w:after="160" w:lineRule="auto"/>
        <w:jc w:val="both"/>
        <w:rPr>
          <w:i w:val="1"/>
          <w:iCs w:val="1"/>
          <w:sz w:val="24"/>
          <w:szCs w:val="24"/>
        </w:rPr>
      </w:pPr>
      <w:r w:rsidDel="00000000" w:rsidR="00000000" w:rsidRPr="00000000">
        <w:rPr>
          <w:i w:val="1"/>
          <w:iCs w:val="1"/>
          <w:sz w:val="24"/>
          <w:szCs w:val="24"/>
          <w:rtl w:val="0"/>
        </w:rPr>
        <w:t xml:space="preserve">Comparación de estudios sobre predicción de abandono de clientes</w:t>
      </w:r>
    </w:p>
    <w:tbl>
      <w:tblPr>
        <w:tblStyle w:val="Table1"/>
        <w:tblW w:w="93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1.8173936123158"/>
        <w:gridCol w:w="2741.0379798030867"/>
        <w:gridCol w:w="2666.1462317210353"/>
        <w:gridCol w:w="1722.5102058871857"/>
        <w:tblGridChange w:id="0">
          <w:tblGrid>
            <w:gridCol w:w="2201.8173936123158"/>
            <w:gridCol w:w="2741.0379798030867"/>
            <w:gridCol w:w="2666.1462317210353"/>
            <w:gridCol w:w="1722.5102058871857"/>
          </w:tblGrid>
        </w:tblGridChange>
      </w:tblGrid>
      <w:tr>
        <w:trPr>
          <w:cantSplit w:val="0"/>
          <w:trHeight w:val="480"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2">
            <w:pPr>
              <w:spacing w:after="0" w:lineRule="auto"/>
              <w:jc w:val="both"/>
              <w:rPr>
                <w:b w:val="1"/>
                <w:bCs w:val="1"/>
                <w:sz w:val="22"/>
                <w:szCs w:val="22"/>
              </w:rPr>
            </w:pPr>
            <w:r w:rsidDel="00000000" w:rsidR="00000000" w:rsidRPr="00000000">
              <w:rPr>
                <w:b w:val="1"/>
                <w:bCs w:val="1"/>
                <w:sz w:val="22"/>
                <w:szCs w:val="22"/>
                <w:rtl w:val="0"/>
              </w:rPr>
              <w:t xml:space="preserve">Estudio</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3">
            <w:pPr>
              <w:spacing w:after="0" w:lineRule="auto"/>
              <w:jc w:val="both"/>
              <w:rPr>
                <w:b w:val="1"/>
                <w:bCs w:val="1"/>
                <w:sz w:val="22"/>
                <w:szCs w:val="22"/>
              </w:rPr>
            </w:pPr>
            <w:r w:rsidDel="00000000" w:rsidR="00000000" w:rsidRPr="00000000">
              <w:rPr>
                <w:b w:val="1"/>
                <w:bCs w:val="1"/>
                <w:sz w:val="22"/>
                <w:szCs w:val="22"/>
                <w:rtl w:val="0"/>
              </w:rPr>
              <w:t xml:space="preserve">Dataset / contexto</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4">
            <w:pPr>
              <w:spacing w:after="0" w:lineRule="auto"/>
              <w:jc w:val="both"/>
              <w:rPr>
                <w:b w:val="1"/>
                <w:bCs w:val="1"/>
                <w:sz w:val="22"/>
                <w:szCs w:val="22"/>
              </w:rPr>
            </w:pPr>
            <w:r w:rsidDel="00000000" w:rsidR="00000000" w:rsidRPr="00000000">
              <w:rPr>
                <w:b w:val="1"/>
                <w:bCs w:val="1"/>
                <w:sz w:val="22"/>
                <w:szCs w:val="22"/>
                <w:rtl w:val="0"/>
              </w:rPr>
              <w:t xml:space="preserve">Modelo / técnica</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5">
            <w:pPr>
              <w:spacing w:after="0" w:lineRule="auto"/>
              <w:jc w:val="both"/>
              <w:rPr>
                <w:b w:val="1"/>
                <w:bCs w:val="1"/>
                <w:sz w:val="22"/>
                <w:szCs w:val="22"/>
              </w:rPr>
            </w:pPr>
            <w:r w:rsidDel="00000000" w:rsidR="00000000" w:rsidRPr="00000000">
              <w:rPr>
                <w:b w:val="1"/>
                <w:bCs w:val="1"/>
                <w:sz w:val="22"/>
                <w:szCs w:val="22"/>
                <w:rtl w:val="0"/>
              </w:rPr>
              <w:t xml:space="preserve">Resultado principal</w:t>
            </w:r>
          </w:p>
        </w:tc>
      </w:tr>
      <w:tr>
        <w:trPr>
          <w:cantSplit w:val="0"/>
          <w:trHeight w:val="120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6">
            <w:pPr>
              <w:spacing w:after="0" w:lineRule="auto"/>
              <w:jc w:val="both"/>
              <w:rPr>
                <w:sz w:val="22"/>
                <w:szCs w:val="22"/>
              </w:rPr>
            </w:pPr>
            <w:r w:rsidDel="00000000" w:rsidR="00000000" w:rsidRPr="00000000">
              <w:rPr>
                <w:sz w:val="22"/>
                <w:szCs w:val="22"/>
                <w:rtl w:val="0"/>
              </w:rPr>
              <w:t xml:space="preserve">De Caigny et al. (2018)</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7">
            <w:pPr>
              <w:spacing w:after="0" w:lineRule="auto"/>
              <w:jc w:val="both"/>
              <w:rPr>
                <w:sz w:val="22"/>
                <w:szCs w:val="22"/>
              </w:rPr>
            </w:pPr>
            <w:r w:rsidDel="00000000" w:rsidR="00000000" w:rsidRPr="00000000">
              <w:rPr>
                <w:sz w:val="22"/>
                <w:szCs w:val="22"/>
                <w:rtl w:val="0"/>
              </w:rPr>
              <w:t xml:space="preserve">Entorno contractual</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8">
            <w:pPr>
              <w:spacing w:after="0" w:lineRule="auto"/>
              <w:jc w:val="both"/>
              <w:rPr>
                <w:sz w:val="22"/>
                <w:szCs w:val="22"/>
              </w:rPr>
            </w:pPr>
            <w:r w:rsidDel="00000000" w:rsidR="00000000" w:rsidRPr="00000000">
              <w:rPr>
                <w:sz w:val="22"/>
                <w:szCs w:val="22"/>
                <w:rtl w:val="0"/>
              </w:rPr>
              <w:t xml:space="preserve">Híbrido: regresión logística + árboles de decisión (Logit Leaf Model)</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9">
            <w:pPr>
              <w:spacing w:after="0" w:lineRule="auto"/>
              <w:jc w:val="both"/>
              <w:rPr>
                <w:sz w:val="22"/>
                <w:szCs w:val="22"/>
              </w:rPr>
            </w:pPr>
            <w:r w:rsidDel="00000000" w:rsidR="00000000" w:rsidRPr="00000000">
              <w:rPr>
                <w:sz w:val="22"/>
                <w:szCs w:val="22"/>
                <w:rtl w:val="0"/>
              </w:rPr>
              <w:t xml:space="preserve">(completar)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A">
            <w:pPr>
              <w:spacing w:after="0" w:lineRule="auto"/>
              <w:jc w:val="both"/>
              <w:rPr>
                <w:sz w:val="22"/>
                <w:szCs w:val="22"/>
              </w:rPr>
            </w:pPr>
            <w:r w:rsidDel="00000000" w:rsidR="00000000" w:rsidRPr="00000000">
              <w:rPr>
                <w:sz w:val="22"/>
                <w:szCs w:val="22"/>
                <w:rtl w:val="0"/>
              </w:rPr>
              <w:t xml:space="preserve">Höppner et al. (2020)</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B">
            <w:pPr>
              <w:spacing w:after="0" w:lineRule="auto"/>
              <w:jc w:val="both"/>
              <w:rPr>
                <w:sz w:val="22"/>
                <w:szCs w:val="22"/>
              </w:rPr>
            </w:pPr>
            <w:r w:rsidDel="00000000" w:rsidR="00000000" w:rsidRPr="00000000">
              <w:rPr>
                <w:sz w:val="22"/>
                <w:szCs w:val="22"/>
                <w:rtl w:val="0"/>
              </w:rPr>
              <w:t xml:space="preserve">Predicción de churn</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C">
            <w:pPr>
              <w:spacing w:after="0" w:lineRule="auto"/>
              <w:jc w:val="both"/>
              <w:rPr>
                <w:sz w:val="22"/>
                <w:szCs w:val="22"/>
              </w:rPr>
            </w:pPr>
            <w:r w:rsidDel="00000000" w:rsidR="00000000" w:rsidRPr="00000000">
              <w:rPr>
                <w:sz w:val="22"/>
                <w:szCs w:val="22"/>
                <w:rtl w:val="0"/>
              </w:rPr>
              <w:t xml:space="preserve">Árboles de decisión profit-driven (ProfTree)</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D">
            <w:pPr>
              <w:spacing w:after="0" w:lineRule="auto"/>
              <w:jc w:val="both"/>
              <w:rPr>
                <w:sz w:val="22"/>
                <w:szCs w:val="22"/>
              </w:rPr>
            </w:pPr>
            <w:r w:rsidDel="00000000" w:rsidR="00000000" w:rsidRPr="00000000">
              <w:rPr>
                <w:sz w:val="22"/>
                <w:szCs w:val="22"/>
                <w:rtl w:val="0"/>
              </w:rPr>
              <w:t xml:space="preserve">(completar)</w:t>
            </w:r>
          </w:p>
        </w:tc>
      </w:tr>
      <w:tr>
        <w:trPr>
          <w:cantSplit w:val="0"/>
          <w:trHeight w:val="94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E">
            <w:pPr>
              <w:spacing w:after="0" w:lineRule="auto"/>
              <w:jc w:val="both"/>
              <w:rPr>
                <w:sz w:val="22"/>
                <w:szCs w:val="22"/>
              </w:rPr>
            </w:pPr>
            <w:r w:rsidDel="00000000" w:rsidR="00000000" w:rsidRPr="00000000">
              <w:rPr>
                <w:sz w:val="22"/>
                <w:szCs w:val="22"/>
                <w:rtl w:val="0"/>
              </w:rPr>
              <w:t xml:space="preserve">Lemmens &amp; Gupta (2020)</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F">
            <w:pPr>
              <w:spacing w:after="0" w:lineRule="auto"/>
              <w:jc w:val="both"/>
              <w:rPr>
                <w:sz w:val="22"/>
                <w:szCs w:val="22"/>
              </w:rPr>
            </w:pPr>
            <w:r w:rsidDel="00000000" w:rsidR="00000000" w:rsidRPr="00000000">
              <w:rPr>
                <w:sz w:val="22"/>
                <w:szCs w:val="22"/>
                <w:rtl w:val="0"/>
              </w:rPr>
              <w:t xml:space="preserve">Campañas de retención (experimentos de campo)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0">
            <w:pPr>
              <w:spacing w:after="0" w:lineRule="auto"/>
              <w:jc w:val="both"/>
              <w:rPr>
                <w:sz w:val="22"/>
                <w:szCs w:val="22"/>
              </w:rPr>
            </w:pPr>
            <w:r w:rsidDel="00000000" w:rsidR="00000000" w:rsidRPr="00000000">
              <w:rPr>
                <w:sz w:val="22"/>
                <w:szCs w:val="22"/>
                <w:rtl w:val="0"/>
              </w:rPr>
              <w:t xml:space="preserve">Stochastic Gradient Boosting</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1">
            <w:pPr>
              <w:spacing w:after="0" w:lineRule="auto"/>
              <w:jc w:val="both"/>
              <w:rPr>
                <w:sz w:val="22"/>
                <w:szCs w:val="22"/>
              </w:rPr>
            </w:pPr>
            <w:r w:rsidDel="00000000" w:rsidR="00000000" w:rsidRPr="00000000">
              <w:rPr>
                <w:sz w:val="22"/>
                <w:szCs w:val="22"/>
                <w:rtl w:val="0"/>
              </w:rPr>
              <w:t xml:space="preserve">+€5 026.36 y +$1 327.76 en beneficios</w:t>
            </w:r>
          </w:p>
        </w:tc>
      </w:tr>
      <w:tr>
        <w:trPr>
          <w:cantSplit w:val="0"/>
          <w:trHeight w:val="94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2">
            <w:pPr>
              <w:spacing w:after="0" w:lineRule="auto"/>
              <w:jc w:val="both"/>
              <w:rPr>
                <w:sz w:val="22"/>
                <w:szCs w:val="22"/>
              </w:rPr>
            </w:pPr>
            <w:r w:rsidDel="00000000" w:rsidR="00000000" w:rsidRPr="00000000">
              <w:rPr>
                <w:sz w:val="22"/>
                <w:szCs w:val="22"/>
                <w:rtl w:val="0"/>
              </w:rPr>
              <w:t xml:space="preserve">Martínez et al. (2020)</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3">
            <w:pPr>
              <w:spacing w:after="0" w:lineRule="auto"/>
              <w:jc w:val="both"/>
              <w:rPr>
                <w:sz w:val="22"/>
                <w:szCs w:val="22"/>
              </w:rPr>
            </w:pPr>
            <w:r w:rsidDel="00000000" w:rsidR="00000000" w:rsidRPr="00000000">
              <w:rPr>
                <w:sz w:val="22"/>
                <w:szCs w:val="22"/>
                <w:rtl w:val="0"/>
              </w:rPr>
              <w:t xml:space="preserve">No contractual; 192 470 transacciones de 10 136 clientes B2B</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4">
            <w:pPr>
              <w:spacing w:after="0" w:lineRule="auto"/>
              <w:jc w:val="both"/>
              <w:rPr>
                <w:sz w:val="22"/>
                <w:szCs w:val="22"/>
              </w:rPr>
            </w:pPr>
            <w:r w:rsidDel="00000000" w:rsidR="00000000" w:rsidRPr="00000000">
              <w:rPr>
                <w:sz w:val="22"/>
                <w:szCs w:val="22"/>
                <w:rtl w:val="0"/>
              </w:rPr>
              <w:t xml:space="preserve">Framework de ML para predicción de compra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5">
            <w:pPr>
              <w:spacing w:after="0" w:lineRule="auto"/>
              <w:jc w:val="both"/>
              <w:rPr>
                <w:sz w:val="22"/>
                <w:szCs w:val="22"/>
              </w:rPr>
            </w:pPr>
            <w:r w:rsidDel="00000000" w:rsidR="00000000" w:rsidRPr="00000000">
              <w:rPr>
                <w:sz w:val="22"/>
                <w:szCs w:val="22"/>
                <w:rtl w:val="0"/>
              </w:rPr>
              <w:t xml:space="preserve">(completar)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6">
            <w:pPr>
              <w:spacing w:after="0" w:lineRule="auto"/>
              <w:jc w:val="both"/>
              <w:rPr>
                <w:sz w:val="22"/>
                <w:szCs w:val="22"/>
              </w:rPr>
            </w:pPr>
            <w:r w:rsidDel="00000000" w:rsidR="00000000" w:rsidRPr="00000000">
              <w:rPr>
                <w:sz w:val="22"/>
                <w:szCs w:val="22"/>
                <w:rtl w:val="0"/>
              </w:rPr>
              <w:t xml:space="preserve">Gattermann-Itschert &amp; Thonemann (2021)</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7">
            <w:pPr>
              <w:spacing w:after="0" w:lineRule="auto"/>
              <w:jc w:val="both"/>
              <w:rPr>
                <w:sz w:val="22"/>
                <w:szCs w:val="22"/>
              </w:rPr>
            </w:pPr>
            <w:r w:rsidDel="00000000" w:rsidR="00000000" w:rsidRPr="00000000">
              <w:rPr>
                <w:sz w:val="22"/>
                <w:szCs w:val="22"/>
                <w:rtl w:val="0"/>
              </w:rPr>
              <w:t xml:space="preserve">No contractual; churn = 3 meses sin compra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8">
            <w:pPr>
              <w:spacing w:after="0" w:lineRule="auto"/>
              <w:jc w:val="both"/>
              <w:rPr>
                <w:sz w:val="22"/>
                <w:szCs w:val="22"/>
              </w:rPr>
            </w:pPr>
            <w:r w:rsidDel="00000000" w:rsidR="00000000" w:rsidRPr="00000000">
              <w:rPr>
                <w:sz w:val="22"/>
                <w:szCs w:val="22"/>
                <w:rtl w:val="0"/>
              </w:rPr>
              <w:t xml:space="preserve">Multi-time-slicing (mejora de entrenamiento)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9">
            <w:pPr>
              <w:spacing w:after="0" w:lineRule="auto"/>
              <w:jc w:val="both"/>
              <w:rPr>
                <w:sz w:val="22"/>
                <w:szCs w:val="22"/>
              </w:rPr>
            </w:pPr>
            <w:r w:rsidDel="00000000" w:rsidR="00000000" w:rsidRPr="00000000">
              <w:rPr>
                <w:sz w:val="22"/>
                <w:szCs w:val="22"/>
                <w:rtl w:val="0"/>
              </w:rPr>
              <w:t xml:space="preserve">(completar)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A">
            <w:pPr>
              <w:spacing w:after="0" w:lineRule="auto"/>
              <w:jc w:val="both"/>
              <w:rPr>
                <w:sz w:val="22"/>
                <w:szCs w:val="22"/>
              </w:rPr>
            </w:pPr>
            <w:r w:rsidDel="00000000" w:rsidR="00000000" w:rsidRPr="00000000">
              <w:rPr>
                <w:sz w:val="22"/>
                <w:szCs w:val="22"/>
                <w:rtl w:val="0"/>
              </w:rPr>
              <w:t xml:space="preserve">Mirkovic et al. (2022)</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B">
            <w:pPr>
              <w:spacing w:after="0" w:lineRule="auto"/>
              <w:jc w:val="both"/>
              <w:rPr>
                <w:sz w:val="22"/>
                <w:szCs w:val="22"/>
              </w:rPr>
            </w:pPr>
            <w:r w:rsidDel="00000000" w:rsidR="00000000" w:rsidRPr="00000000">
              <w:rPr>
                <w:sz w:val="22"/>
                <w:szCs w:val="22"/>
                <w:rtl w:val="0"/>
              </w:rPr>
              <w:t xml:space="preserve">B2B no contractual; datos de facturación</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C">
            <w:pPr>
              <w:spacing w:after="0" w:lineRule="auto"/>
              <w:jc w:val="both"/>
              <w:rPr>
                <w:sz w:val="22"/>
                <w:szCs w:val="22"/>
              </w:rPr>
            </w:pPr>
            <w:r w:rsidDel="00000000" w:rsidR="00000000" w:rsidRPr="00000000">
              <w:rPr>
                <w:sz w:val="22"/>
                <w:szCs w:val="22"/>
                <w:rtl w:val="0"/>
              </w:rPr>
              <w:t xml:space="preserve">Random Forest (vs. LR y SVM)</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D">
            <w:pPr>
              <w:spacing w:after="0" w:lineRule="auto"/>
              <w:jc w:val="both"/>
              <w:rPr>
                <w:sz w:val="22"/>
                <w:szCs w:val="22"/>
              </w:rPr>
            </w:pPr>
            <w:r w:rsidDel="00000000" w:rsidR="00000000" w:rsidRPr="00000000">
              <w:rPr>
                <w:sz w:val="22"/>
                <w:szCs w:val="22"/>
                <w:rtl w:val="0"/>
              </w:rPr>
              <w:t xml:space="preserve">AUC 0.91</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E">
            <w:pPr>
              <w:spacing w:after="0" w:lineRule="auto"/>
              <w:jc w:val="both"/>
              <w:rPr>
                <w:sz w:val="22"/>
                <w:szCs w:val="22"/>
              </w:rPr>
            </w:pPr>
            <w:r w:rsidDel="00000000" w:rsidR="00000000" w:rsidRPr="00000000">
              <w:rPr>
                <w:sz w:val="22"/>
                <w:szCs w:val="22"/>
                <w:rtl w:val="0"/>
              </w:rPr>
              <w:t xml:space="preserve">Gattermann-Itschert &amp; Thonemann (2022)</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F">
            <w:pPr>
              <w:spacing w:after="0" w:lineRule="auto"/>
              <w:jc w:val="both"/>
              <w:rPr>
                <w:sz w:val="22"/>
                <w:szCs w:val="22"/>
              </w:rPr>
            </w:pPr>
            <w:r w:rsidDel="00000000" w:rsidR="00000000" w:rsidRPr="00000000">
              <w:rPr>
                <w:sz w:val="22"/>
                <w:szCs w:val="22"/>
                <w:rtl w:val="0"/>
              </w:rPr>
              <w:t xml:space="preserve">No contractual; experimento de campo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0">
            <w:pPr>
              <w:spacing w:after="0" w:lineRule="auto"/>
              <w:jc w:val="both"/>
              <w:rPr>
                <w:sz w:val="22"/>
                <w:szCs w:val="22"/>
              </w:rPr>
            </w:pPr>
            <w:r w:rsidDel="00000000" w:rsidR="00000000" w:rsidRPr="00000000">
              <w:rPr>
                <w:sz w:val="22"/>
                <w:szCs w:val="22"/>
                <w:rtl w:val="0"/>
              </w:rPr>
              <w:t xml:space="preserve">Random Forest</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1">
            <w:pPr>
              <w:spacing w:after="0" w:lineRule="auto"/>
              <w:jc w:val="both"/>
              <w:rPr>
                <w:sz w:val="22"/>
                <w:szCs w:val="22"/>
              </w:rPr>
            </w:pPr>
            <w:r w:rsidDel="00000000" w:rsidR="00000000" w:rsidRPr="00000000">
              <w:rPr>
                <w:sz w:val="22"/>
                <w:szCs w:val="22"/>
                <w:rtl w:val="0"/>
              </w:rPr>
              <w:t xml:space="preserve">AUC 0.76</w:t>
            </w:r>
          </w:p>
        </w:tc>
      </w:tr>
      <w:tr>
        <w:trPr>
          <w:cantSplit w:val="0"/>
          <w:trHeight w:val="94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2">
            <w:pPr>
              <w:spacing w:after="0" w:lineRule="auto"/>
              <w:jc w:val="both"/>
              <w:rPr>
                <w:sz w:val="22"/>
                <w:szCs w:val="22"/>
              </w:rPr>
            </w:pPr>
            <w:r w:rsidDel="00000000" w:rsidR="00000000" w:rsidRPr="00000000">
              <w:rPr>
                <w:sz w:val="22"/>
                <w:szCs w:val="22"/>
                <w:rtl w:val="0"/>
              </w:rPr>
              <w:t xml:space="preserve">De Caigny et al. (2024)</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3">
            <w:pPr>
              <w:spacing w:after="0" w:lineRule="auto"/>
              <w:jc w:val="both"/>
              <w:rPr>
                <w:sz w:val="22"/>
                <w:szCs w:val="22"/>
              </w:rPr>
            </w:pPr>
            <w:r w:rsidDel="00000000" w:rsidR="00000000" w:rsidRPr="00000000">
              <w:rPr>
                <w:sz w:val="22"/>
                <w:szCs w:val="22"/>
                <w:rtl w:val="0"/>
              </w:rPr>
              <w:t xml:space="preserve">Predicción de churn</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4">
            <w:pPr>
              <w:spacing w:after="0" w:lineRule="auto"/>
              <w:jc w:val="both"/>
              <w:rPr>
                <w:sz w:val="22"/>
                <w:szCs w:val="22"/>
              </w:rPr>
            </w:pPr>
            <w:r w:rsidDel="00000000" w:rsidR="00000000" w:rsidRPr="00000000">
              <w:rPr>
                <w:sz w:val="22"/>
                <w:szCs w:val="22"/>
                <w:rtl w:val="0"/>
              </w:rPr>
              <w:t xml:space="preserve">Híbrido black-box con interpretabilidad segmentada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5">
            <w:pPr>
              <w:spacing w:after="0" w:lineRule="auto"/>
              <w:jc w:val="both"/>
              <w:rPr>
                <w:sz w:val="22"/>
                <w:szCs w:val="22"/>
              </w:rPr>
            </w:pPr>
            <w:r w:rsidDel="00000000" w:rsidR="00000000" w:rsidRPr="00000000">
              <w:rPr>
                <w:sz w:val="22"/>
                <w:szCs w:val="22"/>
                <w:rtl w:val="0"/>
              </w:rPr>
              <w:t xml:space="preserve">(completar)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6">
            <w:pPr>
              <w:spacing w:after="0" w:lineRule="auto"/>
              <w:jc w:val="both"/>
              <w:rPr>
                <w:sz w:val="22"/>
                <w:szCs w:val="22"/>
              </w:rPr>
            </w:pPr>
            <w:r w:rsidDel="00000000" w:rsidR="00000000" w:rsidRPr="00000000">
              <w:rPr>
                <w:sz w:val="22"/>
                <w:szCs w:val="22"/>
                <w:rtl w:val="0"/>
              </w:rPr>
              <w:t xml:space="preserve">Janssens et al. (2024)</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7">
            <w:pPr>
              <w:spacing w:after="0" w:lineRule="auto"/>
              <w:jc w:val="both"/>
              <w:rPr>
                <w:sz w:val="22"/>
                <w:szCs w:val="22"/>
              </w:rPr>
            </w:pPr>
            <w:r w:rsidDel="00000000" w:rsidR="00000000" w:rsidRPr="00000000">
              <w:rPr>
                <w:sz w:val="22"/>
                <w:szCs w:val="22"/>
                <w:rtl w:val="0"/>
              </w:rPr>
              <w:t xml:space="preserve">B2B; +40 000 clientes, distribuidor de bebidas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8">
            <w:pPr>
              <w:spacing w:after="0" w:lineRule="auto"/>
              <w:jc w:val="both"/>
              <w:rPr>
                <w:sz w:val="22"/>
                <w:szCs w:val="22"/>
              </w:rPr>
            </w:pPr>
            <w:r w:rsidDel="00000000" w:rsidR="00000000" w:rsidRPr="00000000">
              <w:rPr>
                <w:sz w:val="22"/>
                <w:szCs w:val="22"/>
                <w:rtl w:val="0"/>
              </w:rPr>
              <w:t xml:space="preserve">Gradient boosting profit-driven (B2Boost)</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9">
            <w:pPr>
              <w:spacing w:after="0" w:lineRule="auto"/>
              <w:jc w:val="both"/>
              <w:rPr>
                <w:sz w:val="22"/>
                <w:szCs w:val="22"/>
              </w:rPr>
            </w:pPr>
            <w:r w:rsidDel="00000000" w:rsidR="00000000" w:rsidRPr="00000000">
              <w:rPr>
                <w:sz w:val="22"/>
                <w:szCs w:val="22"/>
                <w:rtl w:val="0"/>
              </w:rPr>
              <w:t xml:space="preserve">(completar)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A">
            <w:pPr>
              <w:spacing w:after="0" w:lineRule="auto"/>
              <w:jc w:val="both"/>
              <w:rPr>
                <w:sz w:val="22"/>
                <w:szCs w:val="22"/>
              </w:rPr>
            </w:pPr>
            <w:r w:rsidDel="00000000" w:rsidR="00000000" w:rsidRPr="00000000">
              <w:rPr>
                <w:sz w:val="22"/>
                <w:szCs w:val="22"/>
                <w:rtl w:val="0"/>
              </w:rPr>
              <w:t xml:space="preserve">Mena et al. (2024)</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B">
            <w:pPr>
              <w:spacing w:after="0" w:lineRule="auto"/>
              <w:jc w:val="both"/>
              <w:rPr>
                <w:sz w:val="22"/>
                <w:szCs w:val="22"/>
              </w:rPr>
            </w:pPr>
            <w:r w:rsidDel="00000000" w:rsidR="00000000" w:rsidRPr="00000000">
              <w:rPr>
                <w:sz w:val="22"/>
                <w:szCs w:val="22"/>
                <w:rtl w:val="0"/>
              </w:rPr>
              <w:t xml:space="preserve">~480 000 clientes, servicios financieros, 48 meses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C">
            <w:pPr>
              <w:spacing w:after="0" w:lineRule="auto"/>
              <w:jc w:val="both"/>
              <w:rPr>
                <w:sz w:val="22"/>
                <w:szCs w:val="22"/>
              </w:rPr>
            </w:pPr>
            <w:r w:rsidDel="00000000" w:rsidR="00000000" w:rsidRPr="00000000">
              <w:rPr>
                <w:sz w:val="22"/>
                <w:szCs w:val="22"/>
                <w:rtl w:val="0"/>
              </w:rPr>
              <w:t xml:space="preserve">Híbrido RNN + XGBoost sobre RFM</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D">
            <w:pPr>
              <w:spacing w:after="0" w:lineRule="auto"/>
              <w:jc w:val="both"/>
              <w:rPr>
                <w:sz w:val="22"/>
                <w:szCs w:val="22"/>
              </w:rPr>
            </w:pPr>
            <w:r w:rsidDel="00000000" w:rsidR="00000000" w:rsidRPr="00000000">
              <w:rPr>
                <w:sz w:val="22"/>
                <w:szCs w:val="22"/>
                <w:rtl w:val="0"/>
              </w:rPr>
              <w:t xml:space="preserve">AUC 0.84</w:t>
            </w:r>
          </w:p>
        </w:tc>
      </w:tr>
    </w:tbl>
    <w:p w:rsidR="00000000" w:rsidDel="00000000" w:rsidP="00000000" w:rsidRDefault="00000000" w:rsidRPr="00000000" w14:paraId="0000006E">
      <w:pPr>
        <w:spacing w:after="0" w:before="120" w:lineRule="auto"/>
        <w:jc w:val="both"/>
        <w:rPr>
          <w:i w:val="1"/>
          <w:iCs w:val="1"/>
        </w:rPr>
      </w:pPr>
      <w:r w:rsidDel="00000000" w:rsidR="00000000" w:rsidRPr="00000000">
        <w:rPr>
          <w:i w:val="1"/>
          <w:iCs w:val="1"/>
          <w:rtl w:val="0"/>
        </w:rPr>
        <w:t xml:space="preserve">Nota. Elaboración propia a partir de la literatura revisada. Las celdas marcadas como “(completar)” deben llenarse con la métrica reportada en el estudio original.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Esta sección presenta los conceptos clave para entender el problema de abandono de clientes en el contexto de la venta directa peruana. Se introduce brevemente la modalidad de venta directa en Perú, los modelos de clasificación en machine learning y las métricas de evaluación usuales para medir su desempeño.</w:t>
      </w:r>
    </w:p>
    <w:p w:rsidR="00000000" w:rsidDel="00000000" w:rsidP="00000000" w:rsidRDefault="00000000" w:rsidRPr="00000000" w14:paraId="00000073">
      <w:pPr>
        <w:jc w:val="both"/>
        <w:rPr>
          <w:b w:val="1"/>
          <w:bCs w:val="1"/>
          <w:sz w:val="24"/>
          <w:szCs w:val="24"/>
        </w:rPr>
      </w:pPr>
      <w:r w:rsidDel="00000000" w:rsidR="00000000" w:rsidRPr="00000000">
        <w:rPr>
          <w:rtl w:val="0"/>
        </w:rPr>
      </w:r>
    </w:p>
    <w:p w:rsidR="00000000" w:rsidDel="00000000" w:rsidP="00000000" w:rsidRDefault="00000000" w:rsidRPr="00000000" w14:paraId="00000074">
      <w:pPr>
        <w:jc w:val="both"/>
        <w:rPr>
          <w:b w:val="1"/>
          <w:bCs w:val="1"/>
          <w:sz w:val="24"/>
          <w:szCs w:val="24"/>
        </w:rPr>
      </w:pPr>
      <w:r w:rsidDel="00000000" w:rsidR="00000000" w:rsidRPr="00000000">
        <w:rPr>
          <w:b w:val="1"/>
          <w:bCs w:val="1"/>
          <w:sz w:val="24"/>
          <w:szCs w:val="24"/>
          <w:rtl w:val="0"/>
        </w:rPr>
        <w:t xml:space="preserve">3.1 Multi Slicing</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El multi-slicing organiza los datos históricos en múltiples ventanas temporales con el fin de obtener más ejemplos de entrenamiento y el riesgo de sobreajuste a un periodo en particular, aumentando la generalización del modelo. Este enfoque ha demostrado una notable mejora en la predicción de churn en la literatura (Gattermann-Itschert &amp; Thonemann, 2021; Mirkovic et al., 2022). Para obtenerlo se requiere disponer de los datos en estructura de panel longitudinal (entidad × tiempo), de modo que cada entidad pueda observarse repetidamente a lo largo de múltiples periodos. En este caso el tiempo será segmentado por meses. Sobre este panel se definen tres elementos:</w:t>
      </w:r>
    </w:p>
    <w:p w:rsidR="00000000" w:rsidDel="00000000" w:rsidP="00000000" w:rsidRDefault="00000000" w:rsidRPr="00000000" w14:paraId="00000076">
      <w:pPr>
        <w:numPr>
          <w:ilvl w:val="0"/>
          <w:numId w:val="2"/>
        </w:numPr>
        <w:spacing w:after="0" w:lineRule="auto"/>
        <w:ind w:left="720" w:hanging="360"/>
        <w:jc w:val="both"/>
        <w:rPr>
          <w:sz w:val="24"/>
          <w:szCs w:val="24"/>
        </w:rPr>
      </w:pPr>
      <w:r w:rsidDel="00000000" w:rsidR="00000000" w:rsidRPr="00000000">
        <w:rPr>
          <w:sz w:val="24"/>
          <w:szCs w:val="24"/>
          <w:rtl w:val="0"/>
        </w:rPr>
        <w:t xml:space="preserve">Un origen de pronóstico t, que actúa como punto de referencia desde el cual se mira hacia atrás para construir las variables y hacia adelante para determinar la etiqueta.</w:t>
      </w:r>
    </w:p>
    <w:p w:rsidR="00000000" w:rsidDel="00000000" w:rsidP="00000000" w:rsidRDefault="00000000" w:rsidRPr="00000000" w14:paraId="00000077">
      <w:pPr>
        <w:numPr>
          <w:ilvl w:val="0"/>
          <w:numId w:val="2"/>
        </w:numPr>
        <w:spacing w:after="0" w:lineRule="auto"/>
        <w:ind w:left="720" w:hanging="360"/>
        <w:jc w:val="both"/>
        <w:rPr>
          <w:sz w:val="24"/>
          <w:szCs w:val="24"/>
        </w:rPr>
      </w:pPr>
      <w:r w:rsidDel="00000000" w:rsidR="00000000" w:rsidRPr="00000000">
        <w:rPr>
          <w:sz w:val="24"/>
          <w:szCs w:val="24"/>
          <w:rtl w:val="0"/>
        </w:rPr>
        <w:t xml:space="preserve">Una ventana retrospectiva de longitud L, sobre la cual se calculan los features RFM y de tendencia descritos en la sección anterior.</w:t>
      </w:r>
    </w:p>
    <w:p w:rsidR="00000000" w:rsidDel="00000000" w:rsidP="00000000" w:rsidRDefault="00000000" w:rsidRPr="00000000" w14:paraId="00000078">
      <w:pPr>
        <w:numPr>
          <w:ilvl w:val="0"/>
          <w:numId w:val="2"/>
        </w:numPr>
        <w:ind w:left="720" w:hanging="360"/>
        <w:jc w:val="both"/>
        <w:rPr>
          <w:sz w:val="24"/>
          <w:szCs w:val="24"/>
        </w:rPr>
      </w:pPr>
      <w:r w:rsidDel="00000000" w:rsidR="00000000" w:rsidRPr="00000000">
        <w:rPr>
          <w:sz w:val="24"/>
          <w:szCs w:val="24"/>
          <w:rtl w:val="0"/>
        </w:rPr>
        <w:t xml:space="preserve">Una ventana prospectiva H, la cual decidirá la cantidad de meses a tomar en cuenta para la definición del churn. </w:t>
      </w:r>
    </w:p>
    <w:p w:rsidR="00000000" w:rsidDel="00000000" w:rsidP="00000000" w:rsidRDefault="00000000" w:rsidRPr="00000000" w14:paraId="00000079">
      <w:pPr>
        <w:jc w:val="both"/>
        <w:rPr>
          <w:b w:val="1"/>
          <w:bCs w:val="1"/>
          <w:sz w:val="24"/>
          <w:szCs w:val="24"/>
        </w:rPr>
      </w:pPr>
      <w:r w:rsidDel="00000000" w:rsidR="00000000" w:rsidRPr="00000000">
        <w:rPr>
          <w:b w:val="1"/>
          <w:bCs w:val="1"/>
          <w:sz w:val="24"/>
          <w:szCs w:val="24"/>
          <w:rtl w:val="0"/>
        </w:rPr>
        <w:t xml:space="preserve">F</w:t>
      </w:r>
      <w:r w:rsidDel="00000000" w:rsidR="00000000" w:rsidRPr="00000000">
        <w:rPr>
          <w:b w:val="1"/>
          <w:bCs w:val="1"/>
          <w:sz w:val="24"/>
          <w:szCs w:val="24"/>
          <w:rtl w:val="0"/>
        </w:rPr>
        <w:t xml:space="preserve">igura 3.1</w:t>
      </w: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i w:val="1"/>
          <w:iCs w:val="1"/>
          <w:sz w:val="24"/>
          <w:szCs w:val="24"/>
          <w:rtl w:val="0"/>
        </w:rPr>
        <w:t xml:space="preserve">Vista de Multi-Slicing</w:t>
      </w: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b w:val="1"/>
          <w:bCs w:val="1"/>
          <w:sz w:val="24"/>
          <w:szCs w:val="24"/>
        </w:rPr>
      </w:pPr>
      <w:r w:rsidDel="00000000" w:rsidR="00000000" w:rsidRPr="00000000">
        <w:rPr>
          <w:sz w:val="24"/>
          <w:szCs w:val="24"/>
        </w:rPr>
        <w:drawing>
          <wp:inline distB="114300" distT="114300" distL="114300" distR="114300">
            <wp:extent cx="5925510" cy="24765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2551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b w:val="1"/>
          <w:bCs w:val="1"/>
          <w:sz w:val="24"/>
          <w:szCs w:val="24"/>
        </w:rPr>
      </w:pPr>
      <w:r w:rsidDel="00000000" w:rsidR="00000000" w:rsidRPr="00000000">
        <w:rPr>
          <w:rtl w:val="0"/>
        </w:rPr>
      </w:r>
    </w:p>
    <w:p w:rsidR="00000000" w:rsidDel="00000000" w:rsidP="00000000" w:rsidRDefault="00000000" w:rsidRPr="00000000" w14:paraId="0000007E">
      <w:pPr>
        <w:jc w:val="both"/>
        <w:rPr>
          <w:b w:val="1"/>
          <w:bCs w:val="1"/>
          <w:sz w:val="24"/>
          <w:szCs w:val="24"/>
        </w:rPr>
      </w:pPr>
      <w:r w:rsidDel="00000000" w:rsidR="00000000" w:rsidRPr="00000000">
        <w:rPr>
          <w:b w:val="1"/>
          <w:bCs w:val="1"/>
          <w:sz w:val="24"/>
          <w:szCs w:val="24"/>
          <w:rtl w:val="0"/>
        </w:rPr>
        <w:t xml:space="preserve">3.2 Modelos de Clasificación</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Los modelos de clasificación en machine learning son algoritmos supervisados que aprenden a asignar instancias a clases predefinidas a partir de ejemplos etiquetados. En el contexto de predicción de churn suelen emplearse tanto modelos lineales como regresión logística (para clasificar binariamente entre churner/no-churner) como métodos no lineales basados en árboles de decisión.</w:t>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b w:val="1"/>
          <w:bCs w:val="1"/>
          <w:sz w:val="24"/>
          <w:szCs w:val="24"/>
          <w:rtl w:val="0"/>
        </w:rPr>
        <w:t xml:space="preserve">3.3.1 Regresión Logística</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La regresión logística es un modelo lineal ampliamente usado como línea base en clasificación de churn. Calcula la probabilidad de abandono mediante una función logística aplicada a una combinación lineal de características predictoras. Su ventaja está en la simplicidad e interpretabilidad: los coeficientes estimados se interpretan como log-odds ratios, lo que permite cuantificar la dirección y magnitud del efecto de cada variable sobre la probabilidad de abandono.</w:t>
      </w:r>
    </w:p>
    <w:p w:rsidR="00000000" w:rsidDel="00000000" w:rsidP="00000000" w:rsidRDefault="00000000" w:rsidRPr="00000000" w14:paraId="00000083">
      <w:pPr>
        <w:jc w:val="both"/>
        <w:rPr>
          <w:color w:val="14181f"/>
          <w:sz w:val="24"/>
          <w:szCs w:val="24"/>
        </w:rPr>
      </w:pPr>
      <m:oMath>
        <m:r>
          <w:rPr>
            <w:color w:val="14181f"/>
            <w:sz w:val="24"/>
            <w:szCs w:val="24"/>
          </w:rPr>
          <m:t xml:space="preserve">P(y = 1 | x) =</m:t>
        </m:r>
        <m:f>
          <m:fPr>
            <m:ctrlPr>
              <w:rPr>
                <w:color w:val="14181f"/>
                <w:sz w:val="24"/>
                <w:szCs w:val="24"/>
              </w:rPr>
            </m:ctrlPr>
          </m:fPr>
          <m:num>
            <m:r>
              <w:rPr>
                <w:color w:val="14181f"/>
                <w:sz w:val="24"/>
                <w:szCs w:val="24"/>
              </w:rPr>
              <m:t xml:space="preserve">1</m:t>
            </m:r>
          </m:num>
          <m:den>
            <m:r>
              <w:rPr>
                <w:color w:val="14181f"/>
                <w:sz w:val="24"/>
                <w:szCs w:val="24"/>
              </w:rPr>
              <m:t xml:space="preserve">(1 + e⁻ᶻ)</m:t>
            </m:r>
          </m:den>
        </m:f>
        <m:r>
          <w:rPr>
            <w:color w:val="14181f"/>
            <w:sz w:val="24"/>
            <w:szCs w:val="24"/>
          </w:rPr>
          <m:t xml:space="preserve"> ,   donde   z = β₀ + β₁x₁ + β₂x₂ + … + βₚxₚ</m:t>
        </m:r>
      </m:oMath>
      <m:oMath/>
      <w:r w:rsidDel="00000000" w:rsidR="00000000" w:rsidRPr="00000000">
        <w:rPr>
          <w:rtl w:val="0"/>
        </w:rPr>
      </w:r>
    </w:p>
    <w:p w:rsidR="00000000" w:rsidDel="00000000" w:rsidP="00000000" w:rsidRDefault="00000000" w:rsidRPr="00000000" w14:paraId="00000084">
      <w:pPr>
        <w:jc w:val="both"/>
        <w:rPr>
          <w:b w:val="1"/>
          <w:bCs w:val="1"/>
          <w:sz w:val="24"/>
          <w:szCs w:val="24"/>
        </w:rPr>
      </w:pPr>
      <w:r w:rsidDel="00000000" w:rsidR="00000000" w:rsidRPr="00000000">
        <w:rPr>
          <w:rtl w:val="0"/>
        </w:rPr>
      </w:r>
    </w:p>
    <w:p w:rsidR="00000000" w:rsidDel="00000000" w:rsidP="00000000" w:rsidRDefault="00000000" w:rsidRPr="00000000" w14:paraId="00000085">
      <w:pPr>
        <w:jc w:val="both"/>
        <w:rPr>
          <w:b w:val="1"/>
          <w:bCs w:val="1"/>
          <w:sz w:val="24"/>
          <w:szCs w:val="24"/>
        </w:rPr>
      </w:pPr>
      <w:r w:rsidDel="00000000" w:rsidR="00000000" w:rsidRPr="00000000">
        <w:rPr>
          <w:b w:val="1"/>
          <w:bCs w:val="1"/>
          <w:sz w:val="24"/>
          <w:szCs w:val="24"/>
          <w:rtl w:val="0"/>
        </w:rPr>
        <w:t xml:space="preserve">3.3.2 Random Forest</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Random Forest es un método </w:t>
      </w:r>
      <w:r w:rsidDel="00000000" w:rsidR="00000000" w:rsidRPr="00000000">
        <w:rPr>
          <w:sz w:val="24"/>
          <w:szCs w:val="24"/>
          <w:rtl w:val="0"/>
        </w:rPr>
        <w:t xml:space="preserve">ensemble</w:t>
      </w:r>
      <w:r w:rsidDel="00000000" w:rsidR="00000000" w:rsidRPr="00000000">
        <w:rPr>
          <w:sz w:val="24"/>
          <w:szCs w:val="24"/>
          <w:rtl w:val="0"/>
        </w:rPr>
        <w:t xml:space="preserve"> basado en árboles de decisión. Construye múltiples árboles independientes a partir de muestras de entrenamiento aleatorias (bootstrap) y de subconjuntos aleatorios de características en cada división. En clasificación, cada árbol vota y la clase final se elige por mayoría, lo que reduce la varianza del modelo y suele mejorar la generalización. </w:t>
      </w:r>
    </w:p>
    <w:p w:rsidR="00000000" w:rsidDel="00000000" w:rsidP="00000000" w:rsidRDefault="00000000" w:rsidRPr="00000000" w14:paraId="00000087">
      <w:pPr>
        <w:jc w:val="left"/>
        <w:rPr>
          <w:sz w:val="24"/>
          <w:szCs w:val="24"/>
        </w:rPr>
      </w:pPr>
      <m:oMath>
        <m:r>
          <w:rPr>
            <w:color w:val="14181f"/>
            <w:sz w:val="24"/>
            <w:szCs w:val="24"/>
          </w:rPr>
          <m:t xml:space="preserve">ŷ = moda{ T₁(x), T₂(x), …, Tₖ(x) }, </m:t>
        </m:r>
      </m:oMath>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b w:val="1"/>
          <w:bCs w:val="1"/>
          <w:sz w:val="24"/>
          <w:szCs w:val="24"/>
        </w:rPr>
      </w:pPr>
      <w:r w:rsidDel="00000000" w:rsidR="00000000" w:rsidRPr="00000000">
        <w:rPr>
          <w:b w:val="1"/>
          <w:bCs w:val="1"/>
          <w:sz w:val="24"/>
          <w:szCs w:val="24"/>
          <w:rtl w:val="0"/>
        </w:rPr>
        <w:t xml:space="preserve">3.3.3 XGBoost</w:t>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Los métodos de gradient boosting construyen secuencialmente un </w:t>
      </w:r>
      <w:r w:rsidDel="00000000" w:rsidR="00000000" w:rsidRPr="00000000">
        <w:rPr>
          <w:sz w:val="24"/>
          <w:szCs w:val="24"/>
          <w:rtl w:val="0"/>
        </w:rPr>
        <w:t xml:space="preserve">ensemble</w:t>
      </w:r>
      <w:r w:rsidDel="00000000" w:rsidR="00000000" w:rsidRPr="00000000">
        <w:rPr>
          <w:sz w:val="24"/>
          <w:szCs w:val="24"/>
          <w:rtl w:val="0"/>
        </w:rPr>
        <w:t xml:space="preserve"> de árboles de decisión, donde cada árbol corrige los errores (residuos) del conjunto anterior. XGBoost es una implementación popular que optimiza funciones objetivas mediante técnicas de gradiente. Este enfoque suele alcanzar alta precisión en tareas de clasificación complejas, incluido el churn.</w:t>
      </w:r>
    </w:p>
    <w:p w:rsidR="00000000" w:rsidDel="00000000" w:rsidP="00000000" w:rsidRDefault="00000000" w:rsidRPr="00000000" w14:paraId="0000008B">
      <w:pPr>
        <w:jc w:val="both"/>
        <w:rPr>
          <w:sz w:val="24"/>
          <w:szCs w:val="24"/>
        </w:rPr>
      </w:pPr>
      <m:oMath>
        <m:r>
          <w:rPr>
            <w:color w:val="14181f"/>
            <w:sz w:val="24"/>
            <w:szCs w:val="24"/>
          </w:rPr>
          <m:t xml:space="preserve">Obj = Σᵢ l(yᵢ, ŷᵢ) + Σₖ Ω(fₖ),   donde   Ω(f) = γT + (½)λ‖w‖²</m:t>
        </m:r>
      </m:oMath>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jc w:val="both"/>
        <w:rPr>
          <w:b w:val="1"/>
          <w:bCs w:val="1"/>
          <w:sz w:val="24"/>
          <w:szCs w:val="24"/>
        </w:rPr>
      </w:pPr>
      <w:r w:rsidDel="00000000" w:rsidR="00000000" w:rsidRPr="00000000">
        <w:rPr>
          <w:b w:val="1"/>
          <w:bCs w:val="1"/>
          <w:sz w:val="24"/>
          <w:szCs w:val="24"/>
          <w:rtl w:val="0"/>
        </w:rPr>
        <w:t xml:space="preserve">3.4 Métricas de Evaluación</w:t>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Con el fin de evaluar y comparar los modelos de machine learning, se utilizarán métricas que nos permitirán medir el desempeño de nuestros modelos clasificando la información. </w:t>
      </w:r>
    </w:p>
    <w:p w:rsidR="00000000" w:rsidDel="00000000" w:rsidP="00000000" w:rsidRDefault="00000000" w:rsidRPr="00000000" w14:paraId="0000008F">
      <w:pPr>
        <w:numPr>
          <w:ilvl w:val="0"/>
          <w:numId w:val="3"/>
        </w:numPr>
        <w:ind w:left="720" w:hanging="360"/>
        <w:jc w:val="both"/>
        <w:rPr>
          <w:b w:val="1"/>
          <w:bCs w:val="1"/>
          <w:u w:val="none"/>
        </w:rPr>
      </w:pPr>
      <w:r w:rsidDel="00000000" w:rsidR="00000000" w:rsidRPr="00000000">
        <w:rPr>
          <w:b w:val="1"/>
          <w:bCs w:val="1"/>
          <w:sz w:val="24"/>
          <w:szCs w:val="24"/>
          <w:rtl w:val="0"/>
        </w:rPr>
        <w:t xml:space="preserve">3.4.1 Ac</w:t>
      </w:r>
      <w:r w:rsidDel="00000000" w:rsidR="00000000" w:rsidRPr="00000000">
        <w:rPr>
          <w:b w:val="1"/>
          <w:bCs w:val="1"/>
          <w:sz w:val="24"/>
          <w:szCs w:val="24"/>
          <w:rtl w:val="0"/>
        </w:rPr>
        <w:t xml:space="preserve">curacy: </w:t>
      </w:r>
      <w:r w:rsidDel="00000000" w:rsidR="00000000" w:rsidRPr="00000000">
        <w:rPr>
          <w:sz w:val="24"/>
          <w:szCs w:val="24"/>
          <w:rtl w:val="0"/>
        </w:rPr>
        <w:t xml:space="preserve">Mide la proporción de clasificaciones correctas sobre el total de casos.</w:t>
      </w:r>
    </w:p>
    <w:p w:rsidR="00000000" w:rsidDel="00000000" w:rsidP="00000000" w:rsidRDefault="00000000" w:rsidRPr="00000000" w14:paraId="00000090">
      <w:pPr>
        <w:ind w:left="720" w:firstLine="0"/>
        <w:jc w:val="both"/>
        <w:rPr>
          <w:sz w:val="24"/>
          <w:szCs w:val="24"/>
        </w:rPr>
      </w:pPr>
      <m:oMath>
        <m:r>
          <w:rPr>
            <w:sz w:val="24"/>
            <w:szCs w:val="24"/>
          </w:rPr>
          <m:t xml:space="preserve">Accuracy = (TP + TN) / (TP + TN + FP + FN) </m:t>
        </m:r>
      </m:oMath>
      <w:r w:rsidDel="00000000" w:rsidR="00000000" w:rsidRPr="00000000">
        <w:rPr>
          <w:rtl w:val="0"/>
        </w:rPr>
      </w:r>
    </w:p>
    <w:p w:rsidR="00000000" w:rsidDel="00000000" w:rsidP="00000000" w:rsidRDefault="00000000" w:rsidRPr="00000000" w14:paraId="00000091">
      <w:pPr>
        <w:numPr>
          <w:ilvl w:val="0"/>
          <w:numId w:val="3"/>
        </w:numPr>
        <w:ind w:left="720" w:hanging="360"/>
        <w:jc w:val="both"/>
        <w:rPr>
          <w:b w:val="1"/>
          <w:bCs w:val="1"/>
          <w:u w:val="none"/>
        </w:rPr>
      </w:pPr>
      <w:r w:rsidDel="00000000" w:rsidR="00000000" w:rsidRPr="00000000">
        <w:rPr>
          <w:b w:val="1"/>
          <w:bCs w:val="1"/>
          <w:sz w:val="24"/>
          <w:szCs w:val="24"/>
          <w:rtl w:val="0"/>
        </w:rPr>
        <w:t xml:space="preserve">3.4.2 Recall: </w:t>
      </w:r>
      <w:r w:rsidDel="00000000" w:rsidR="00000000" w:rsidRPr="00000000">
        <w:rPr>
          <w:sz w:val="24"/>
          <w:szCs w:val="24"/>
          <w:rtl w:val="0"/>
        </w:rPr>
        <w:t xml:space="preserve">Proporción de instancias positivas reales que el modelo identifica correctamente.</w:t>
      </w:r>
    </w:p>
    <w:p w:rsidR="00000000" w:rsidDel="00000000" w:rsidP="00000000" w:rsidRDefault="00000000" w:rsidRPr="00000000" w14:paraId="00000092">
      <w:pPr>
        <w:ind w:left="720" w:firstLine="0"/>
        <w:jc w:val="both"/>
        <w:rPr>
          <w:sz w:val="24"/>
          <w:szCs w:val="24"/>
        </w:rPr>
      </w:pPr>
      <m:oMath>
        <m:r>
          <w:rPr>
            <w:sz w:val="24"/>
            <w:szCs w:val="24"/>
          </w:rPr>
          <m:t xml:space="preserve">Recall = TP / (TP + FN) </m:t>
        </m:r>
      </m:oMath>
      <w:r w:rsidDel="00000000" w:rsidR="00000000" w:rsidRPr="00000000">
        <w:rPr>
          <w:rtl w:val="0"/>
        </w:rPr>
      </w:r>
    </w:p>
    <w:p w:rsidR="00000000" w:rsidDel="00000000" w:rsidP="00000000" w:rsidRDefault="00000000" w:rsidRPr="00000000" w14:paraId="00000093">
      <w:pPr>
        <w:numPr>
          <w:ilvl w:val="0"/>
          <w:numId w:val="3"/>
        </w:numPr>
        <w:ind w:left="720" w:hanging="360"/>
        <w:jc w:val="both"/>
        <w:rPr>
          <w:u w:val="none"/>
        </w:rPr>
      </w:pPr>
      <w:r w:rsidDel="00000000" w:rsidR="00000000" w:rsidRPr="00000000">
        <w:rPr>
          <w:b w:val="1"/>
          <w:bCs w:val="1"/>
          <w:sz w:val="24"/>
          <w:szCs w:val="24"/>
          <w:rtl w:val="0"/>
        </w:rPr>
        <w:t xml:space="preserve">3.4.3 </w:t>
      </w:r>
      <w:r w:rsidDel="00000000" w:rsidR="00000000" w:rsidRPr="00000000">
        <w:rPr>
          <w:b w:val="1"/>
          <w:bCs w:val="1"/>
          <w:sz w:val="24"/>
          <w:szCs w:val="24"/>
          <w:rtl w:val="0"/>
        </w:rPr>
        <w:t xml:space="preserve">Precisio</w:t>
      </w:r>
      <w:r w:rsidDel="00000000" w:rsidR="00000000" w:rsidRPr="00000000">
        <w:rPr>
          <w:b w:val="1"/>
          <w:bCs w:val="1"/>
          <w:sz w:val="24"/>
          <w:szCs w:val="24"/>
          <w:rtl w:val="0"/>
        </w:rPr>
        <w:t xml:space="preserve">n</w:t>
      </w:r>
      <w:r w:rsidDel="00000000" w:rsidR="00000000" w:rsidRPr="00000000">
        <w:rPr>
          <w:b w:val="1"/>
          <w:bCs w:val="1"/>
          <w:sz w:val="24"/>
          <w:szCs w:val="24"/>
          <w:rtl w:val="0"/>
        </w:rPr>
        <w:t xml:space="preserve">: </w:t>
      </w:r>
      <w:r w:rsidDel="00000000" w:rsidR="00000000" w:rsidRPr="00000000">
        <w:rPr>
          <w:sz w:val="24"/>
          <w:szCs w:val="24"/>
          <w:rtl w:val="0"/>
        </w:rPr>
        <w:t xml:space="preserve">Proporción de aciertos entre todas las predicciones positivas, es decir, cuántas de las instancias clasificadas como positivas lo son realmente.</w:t>
      </w:r>
    </w:p>
    <w:p w:rsidR="00000000" w:rsidDel="00000000" w:rsidP="00000000" w:rsidRDefault="00000000" w:rsidRPr="00000000" w14:paraId="00000094">
      <w:pPr>
        <w:ind w:left="720" w:firstLine="0"/>
        <w:jc w:val="both"/>
        <w:rPr>
          <w:sz w:val="24"/>
          <w:szCs w:val="24"/>
        </w:rPr>
      </w:pPr>
      <m:oMath>
        <m:r>
          <w:rPr>
            <w:sz w:val="24"/>
            <w:szCs w:val="24"/>
          </w:rPr>
          <m:t xml:space="preserve">Precision = TP / (TP + FP) </m:t>
        </m:r>
      </m:oMath>
      <w:r w:rsidDel="00000000" w:rsidR="00000000" w:rsidRPr="00000000">
        <w:rPr>
          <w:rtl w:val="0"/>
        </w:rPr>
      </w:r>
    </w:p>
    <w:p w:rsidR="00000000" w:rsidDel="00000000" w:rsidP="00000000" w:rsidRDefault="00000000" w:rsidRPr="00000000" w14:paraId="00000095">
      <w:pPr>
        <w:numPr>
          <w:ilvl w:val="0"/>
          <w:numId w:val="3"/>
        </w:numPr>
        <w:ind w:left="720" w:hanging="360"/>
        <w:jc w:val="both"/>
        <w:rPr>
          <w:sz w:val="24"/>
          <w:szCs w:val="24"/>
          <w:u w:val="none"/>
        </w:rPr>
      </w:pPr>
      <w:r w:rsidDel="00000000" w:rsidR="00000000" w:rsidRPr="00000000">
        <w:rPr>
          <w:b w:val="1"/>
          <w:bCs w:val="1"/>
          <w:sz w:val="24"/>
          <w:szCs w:val="24"/>
          <w:rtl w:val="0"/>
        </w:rPr>
        <w:t xml:space="preserve">3.4.5 Lift:</w:t>
      </w:r>
      <w:r w:rsidDel="00000000" w:rsidR="00000000" w:rsidRPr="00000000">
        <w:rPr>
          <w:sz w:val="24"/>
          <w:szCs w:val="24"/>
          <w:rtl w:val="0"/>
        </w:rPr>
        <w:t xml:space="preserve"> Mide cuántas veces más efectivo es el modelo para identificar la clase positiva frente a una selección aleatoria. Se define como la razón entre la precisión del modelo y la prevalencia de la clase positiva en la población.</w:t>
      </w:r>
    </w:p>
    <w:p w:rsidR="00000000" w:rsidDel="00000000" w:rsidP="00000000" w:rsidRDefault="00000000" w:rsidRPr="00000000" w14:paraId="00000096">
      <w:pPr>
        <w:ind w:left="720" w:firstLine="0"/>
        <w:jc w:val="both"/>
        <w:rPr>
          <w:sz w:val="24"/>
          <w:szCs w:val="24"/>
        </w:rPr>
      </w:pPr>
      <m:oMath>
        <m:r>
          <w:rPr>
            <w:sz w:val="24"/>
            <w:szCs w:val="24"/>
          </w:rPr>
          <m:t xml:space="preserve">Lift = </m:t>
        </m:r>
        <m:f>
          <m:fPr>
            <m:ctrlPr>
              <w:rPr>
                <w:sz w:val="24"/>
                <w:szCs w:val="24"/>
              </w:rPr>
            </m:ctrlPr>
          </m:fPr>
          <m:num>
            <m:r>
              <w:rPr>
                <w:sz w:val="24"/>
                <w:szCs w:val="24"/>
              </w:rPr>
              <m:t xml:space="preserve">Precision</m:t>
            </m:r>
            <m:r>
              <w:rPr>
                <w:sz w:val="24"/>
                <w:szCs w:val="24"/>
              </w:rPr>
              <m:t xml:space="preserve"> </m:t>
            </m:r>
          </m:num>
          <m:den>
            <m:r>
              <w:rPr>
                <w:sz w:val="24"/>
                <w:szCs w:val="24"/>
              </w:rPr>
              <m:t xml:space="preserve">Prevalencia de la clase positiva</m:t>
            </m:r>
          </m:den>
        </m:f>
        <m:r>
          <w:rPr>
            <w:sz w:val="24"/>
            <w:szCs w:val="24"/>
          </w:rPr>
          <m:t xml:space="preserve"> </m:t>
        </m:r>
      </m:oMath>
      <w:r w:rsidDel="00000000" w:rsidR="00000000" w:rsidRPr="00000000">
        <w:rPr>
          <w:rtl w:val="0"/>
        </w:rPr>
      </w:r>
    </w:p>
    <w:p w:rsidR="00000000" w:rsidDel="00000000" w:rsidP="00000000" w:rsidRDefault="00000000" w:rsidRPr="00000000" w14:paraId="00000097">
      <w:pPr>
        <w:numPr>
          <w:ilvl w:val="0"/>
          <w:numId w:val="3"/>
        </w:numPr>
        <w:ind w:left="720" w:hanging="360"/>
        <w:jc w:val="both"/>
        <w:rPr>
          <w:b w:val="1"/>
          <w:bCs w:val="1"/>
          <w:sz w:val="24"/>
          <w:szCs w:val="24"/>
        </w:rPr>
      </w:pPr>
      <w:r w:rsidDel="00000000" w:rsidR="00000000" w:rsidRPr="00000000">
        <w:rPr>
          <w:b w:val="1"/>
          <w:bCs w:val="1"/>
          <w:sz w:val="24"/>
          <w:szCs w:val="24"/>
          <w:rtl w:val="0"/>
        </w:rPr>
        <w:t xml:space="preserve">3.5.6 Top Decile Lift: </w:t>
      </w:r>
      <w:r w:rsidDel="00000000" w:rsidR="00000000" w:rsidRPr="00000000">
        <w:rPr>
          <w:sz w:val="24"/>
          <w:szCs w:val="24"/>
          <w:rtl w:val="0"/>
        </w:rPr>
        <w:t xml:space="preserve">Mide la capacidad del modelo para concentrar la clase positiva en el decil de mayor puntaje. Para calcularlo se ordenan todas las instancias de forma descendente según la probabilidad (o score) que asigna el modelo, se toma el 10% superior (primer decil) y se compara la proporción de positivos en ese grupo frente a la prevalencia de la clase positiva en toda la población. Indica cuántas veces más efectivo es el modelo para capturar positivos al enfocarse en su decil más prometedor en lugar de una selección aleatoria.</w:t>
      </w:r>
    </w:p>
    <w:p w:rsidR="00000000" w:rsidDel="00000000" w:rsidP="00000000" w:rsidRDefault="00000000" w:rsidRPr="00000000" w14:paraId="00000098">
      <w:pPr>
        <w:ind w:left="720" w:firstLine="0"/>
        <w:jc w:val="both"/>
        <w:rPr>
          <w:sz w:val="24"/>
          <w:szCs w:val="24"/>
        </w:rPr>
      </w:pPr>
      <m:oMath>
        <m:r>
          <w:rPr>
            <w:sz w:val="24"/>
            <w:szCs w:val="24"/>
          </w:rPr>
          <m:t xml:space="preserve">Top Decile Lift =</m:t>
        </m:r>
        <m:f>
          <m:fPr>
            <m:ctrlPr>
              <w:rPr>
                <w:sz w:val="24"/>
                <w:szCs w:val="24"/>
              </w:rPr>
            </m:ctrlPr>
          </m:fPr>
          <m:num>
            <m:r>
              <w:rPr>
                <w:sz w:val="24"/>
                <w:szCs w:val="24"/>
              </w:rPr>
              <m:t xml:space="preserve">(Proporción de positivos en el decil superior)</m:t>
            </m:r>
          </m:num>
          <m:den>
            <m:r>
              <w:rPr>
                <w:sz w:val="24"/>
                <w:szCs w:val="24"/>
              </w:rPr>
              <m:t xml:space="preserve">(Prevalencia de la clase positiva en la población)</m:t>
            </m:r>
          </m:den>
        </m:f>
      </m:oMath>
      <w:r w:rsidDel="00000000" w:rsidR="00000000" w:rsidRPr="00000000">
        <w:rPr>
          <w:rtl w:val="0"/>
        </w:rPr>
      </w:r>
    </w:p>
    <w:p w:rsidR="00000000" w:rsidDel="00000000" w:rsidP="00000000" w:rsidRDefault="00000000" w:rsidRPr="00000000" w14:paraId="00000099">
      <w:pPr>
        <w:numPr>
          <w:ilvl w:val="0"/>
          <w:numId w:val="3"/>
        </w:numPr>
        <w:ind w:left="720" w:hanging="360"/>
        <w:jc w:val="both"/>
        <w:rPr>
          <w:b w:val="1"/>
          <w:bCs w:val="1"/>
          <w:sz w:val="24"/>
          <w:szCs w:val="24"/>
        </w:rPr>
      </w:pPr>
      <w:r w:rsidDel="00000000" w:rsidR="00000000" w:rsidRPr="00000000">
        <w:rPr>
          <w:b w:val="1"/>
          <w:bCs w:val="1"/>
          <w:sz w:val="24"/>
          <w:szCs w:val="24"/>
          <w:rtl w:val="0"/>
        </w:rPr>
        <w:t xml:space="preserve">3.4.6 AUC: </w:t>
      </w:r>
      <w:r w:rsidDel="00000000" w:rsidR="00000000" w:rsidRPr="00000000">
        <w:rPr>
          <w:sz w:val="24"/>
          <w:szCs w:val="24"/>
          <w:rtl w:val="0"/>
        </w:rPr>
        <w:t xml:space="preserve">Área bajo la curva ROC, que grafica la tasa de verdaderos positivos (TPR) frente a la tasa de falsos positivos (FPR) al variar el umbral de decisión. Un AUC más alto (máximo 1.0) indica mejor capacidad del modelo para separar la clase positiva de la negativa independientemente del umbral elegido.</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metodología propuesta toma en consideración las mejores prácticas de la metodología fundamental de ciencia de datos (IBM Analytics, 2015), articulada en 5 fases. Desde el entendimiento del negocio y la construcción del dataset hasta la evaluación final de los modelos de predicción entrenados. A continuación se presenta en la Figura 6, el proceso metodológico integral, el demuestra el flujo de trabajo que se llevará a cabo en el estudio.</w:t>
      </w:r>
    </w:p>
    <w:p w:rsidR="00000000" w:rsidDel="00000000" w:rsidP="00000000" w:rsidRDefault="00000000" w:rsidRPr="00000000" w14:paraId="0000009D">
      <w:pPr>
        <w:jc w:val="both"/>
        <w:rPr>
          <w:b w:val="1"/>
          <w:bCs w:val="1"/>
          <w:sz w:val="24"/>
          <w:szCs w:val="24"/>
        </w:rPr>
      </w:pPr>
      <w:r w:rsidDel="00000000" w:rsidR="00000000" w:rsidRPr="00000000">
        <w:rPr>
          <w:rtl w:val="0"/>
        </w:rPr>
      </w:r>
    </w:p>
    <w:p w:rsidR="00000000" w:rsidDel="00000000" w:rsidP="00000000" w:rsidRDefault="00000000" w:rsidRPr="00000000" w14:paraId="0000009E">
      <w:pPr>
        <w:jc w:val="both"/>
        <w:rPr>
          <w:b w:val="1"/>
          <w:bCs w:val="1"/>
          <w:sz w:val="24"/>
          <w:szCs w:val="24"/>
        </w:rPr>
      </w:pPr>
      <w:r w:rsidDel="00000000" w:rsidR="00000000" w:rsidRPr="00000000">
        <w:rPr>
          <w:b w:val="1"/>
          <w:bCs w:val="1"/>
          <w:sz w:val="24"/>
          <w:szCs w:val="24"/>
          <w:rtl w:val="0"/>
        </w:rPr>
        <w:t xml:space="preserve">Figura 5.1</w:t>
      </w:r>
    </w:p>
    <w:p w:rsidR="00000000" w:rsidDel="00000000" w:rsidP="00000000" w:rsidRDefault="00000000" w:rsidRPr="00000000" w14:paraId="0000009F">
      <w:pPr>
        <w:jc w:val="both"/>
        <w:rPr>
          <w:sz w:val="24"/>
          <w:szCs w:val="24"/>
        </w:rPr>
      </w:pPr>
      <w:r w:rsidDel="00000000" w:rsidR="00000000" w:rsidRPr="00000000">
        <w:rPr>
          <w:i w:val="1"/>
          <w:iCs w:val="1"/>
          <w:sz w:val="24"/>
          <w:szCs w:val="24"/>
          <w:rtl w:val="0"/>
        </w:rPr>
        <w:t xml:space="preserve">Flujo Metodológico</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995988" cy="4142156"/>
            <wp:effectExtent b="0" l="0" r="0" t="0"/>
            <wp:docPr id="1" name="image5.png"/>
            <a:graphic>
              <a:graphicData uri="http://schemas.openxmlformats.org/drawingml/2006/picture">
                <pic:pic>
                  <pic:nvPicPr>
                    <pic:cNvPr id="0" name="image5.png"/>
                    <pic:cNvPicPr preferRelativeResize="0"/>
                  </pic:nvPicPr>
                  <pic:blipFill>
                    <a:blip r:embed="rId14"/>
                    <a:srcRect b="4564" l="2412" r="2572" t="3318"/>
                    <a:stretch>
                      <a:fillRect/>
                    </a:stretch>
                  </pic:blipFill>
                  <pic:spPr>
                    <a:xfrm>
                      <a:off x="0" y="0"/>
                      <a:ext cx="5995988" cy="414215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4.1 Entendimiento del negocio y construcción del dataset</w:t>
      </w:r>
      <w:r w:rsidDel="00000000" w:rsidR="00000000" w:rsidRPr="00000000">
        <w:rPr>
          <w:rtl w:val="0"/>
        </w:rPr>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Esta etapa tiene el propósito de garantizar unas bases sólidas para el desarrollo de la investigación, asegurando datos confiables, representativos y adecuados para el estudio. En primera instancia, se tendrán entrevistas con los usuarios del negocio para entender su perspectiva y utilizarla para el desarrollo de los modelos. En segundo lugar, se cuenta con acceso al data warehouse del negocio, el cual dispone de fact tables y dimensiones de las transacciones y sus clientes. A partir de esta información se construirá el dataset de entrenamiento.</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En primer lugar, se definirá el umbral de churn con un análisis de hazard sobre la distribución de tiempos entre compras de las vendedoras. El criterio propuesto es clasificar como churn a la vendedora que acumule seis meses consecutivos sin compra, dado que el análisis preliminar indica que aproximadamente 95% de los clientes vuelve a comprar antes de ese umbral.</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A partir de esto, se modelará el dataset como una clasificación binaria, donde cada fila representará a una vendedora activa en un origen temporal mensual, con su ventana retrospectiva de features y su etiqueta de churn futura tomando en cuenta los próximos 6 meses. El forecasting </w:t>
      </w:r>
      <w:r w:rsidDel="00000000" w:rsidR="00000000" w:rsidRPr="00000000">
        <w:rPr>
          <w:sz w:val="24"/>
          <w:szCs w:val="24"/>
          <w:rtl w:val="0"/>
        </w:rPr>
        <w:t xml:space="preserve">origin</w:t>
      </w:r>
      <w:r w:rsidDel="00000000" w:rsidR="00000000" w:rsidRPr="00000000">
        <w:rPr>
          <w:sz w:val="24"/>
          <w:szCs w:val="24"/>
          <w:rtl w:val="0"/>
        </w:rPr>
        <w:t xml:space="preserve"> se desplazará mes a mes, generando aproximadamente 89 cortes temporales sobre el panel 2017–2026. Este diseño multi-slice incrementa el tamaño efectivo del dataset, mitigando el desbalance de clases, como también, expone al modelo a diferentes regímenes temporales. La estructura sigue la lógica de multi-slicing aplicada por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y Mirkovic et al. (2022).</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4.2 Análisis exploratorio de los datos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el análisis exploratorio de datos se examinarán las distribuciones univariadas de las variables de información del vendedor, actividad, pedido y comportamientos de compra; las relaciones bivariadas entre las variables y el churn; correlaciones entre las variables predictoras; tasas de abandono por corte temporal; y segmentación de los vendedores por su comportamiento de compra. Para ello se utilizará Python, específicamente con las librerías de Pandas y Numpy para el procesamiento y transformación de los datos, como también, Seaborn y Matplotlib para la generación de visualizaciones. Asimismo , se analizarán las variables RFM a lo largo del tiempo. Mena et al. muestran que las diferencias entre churners y no churners se hacen visibles en secuencias temporales RFM, y no solo en un snapshot final.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4.2.1 Preprocesamiento de datos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preparación y preprocesamiento de los datos tiene la finalidad de limpiar y transformar los datos para optimizar el entrenamiento de los modelos. Se revisarán duplicados, información faltante, consistencia y valores erróneos en los datos; entre estos: meses faltantes, transacciones con montos anómalos, ubicación no descrita, etc. Las variables categóricas, como el departamento de un vendedor, se codifican mediante one-hot encoding cuando el algoritmo lo requiera, mientras que las variables numéricas se estandarizan con z-score para los modelos sensibles a escala, tales como Logistic Regression y SVM, siguiendo las prácticas recomendadas en la literatura (Gattermann-Itschert &amp; Thonemann, 2021; Mirkovic et al., 2022). En contraste, modelos como Random Forest y XGBoost no se </w:t>
      </w:r>
      <w:r w:rsidDel="00000000" w:rsidR="00000000" w:rsidRPr="00000000">
        <w:rPr>
          <w:sz w:val="24"/>
          <w:szCs w:val="24"/>
          <w:rtl w:val="0"/>
        </w:rPr>
        <w:t xml:space="preserve">estandarizarán</w:t>
      </w:r>
      <w:r w:rsidDel="00000000" w:rsidR="00000000" w:rsidRPr="00000000">
        <w:rPr>
          <w:sz w:val="24"/>
          <w:szCs w:val="24"/>
          <w:rtl w:val="0"/>
        </w:rPr>
        <w:t xml:space="preserve">, dado que estos algoritmos entrenados con árboles, son mucho menos sensibles a estas escalas (De Caigny et al., 2018; Mirkovic et al., 2022). Respecto al desbalance de la clase de churn, no se priorizará remuestreo explícito como paso estándar del pipeline. Esto dado a que el diseño multi-slicing aumenta la clase minoritaria de churn, mejorando la generalización sin necesidad de técnicas como SMOTE (Gattermann-Itschert &amp; Thonemann, 2021; Mirkovic et al., 2022).</w:t>
      </w:r>
    </w:p>
    <w:p w:rsidR="00000000" w:rsidDel="00000000" w:rsidP="00000000" w:rsidRDefault="00000000" w:rsidRPr="00000000" w14:paraId="000000AB">
      <w:pPr>
        <w:widowControl w:val="0"/>
        <w:spacing w:after="0" w:line="276" w:lineRule="auto"/>
        <w:rPr>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4.3 Ingeniería de variables y selección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la ingeniería de variables, se realizará la creación de variables bajo el enfoque LRFM: Length representará la antigüedad de los vendedores, tanto por el número de meses transcurridos desde su primera compra, como por los registros acumulados históricos de compra hasta el mes de observación. Recency se concentrará entre el mes de observación y la compra anterior a esta. Frequency se encargará de consolidar la intensidad de las actividades de compra y la tasa de actividad de los meses anteriores. Finalmente, Monetary tendrá variables de valor económico como el monto comprado, ticket promedio del vendedor y el ratio de pago, dentro de la venta de observación.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 partir de este enfoque, se crearán variables orientadas a capturar cambios en el comportamiento del vendedor. En primer lugar, se calcularán agregaciones sobre ventanas móviles retrospectivas a distintos horizontes (tres, seis y doce meses), que funcionan como promedios móviles de RFM y permiten contrastar el comportamiento reciente con el de mediano y largo plazo. Sobre estas ventanas se derivarán, además, dos tipos de indicadores de tendencia: ratios que comparan la actividad del último trimestre frente al trimestre inmediatamente anterior, capturando aceleración o desaceleración en el comportamiento de compra; y ratios entre el ticket promedio reciente y el ticket histórico de la propia vendedora. Adicionalmente, se considerarán indicadores de diversidad de los productos adquiridos y la diversidad de los mismos, tomando en cuenta el número de productos, categorías y subcategorías comprados en el mes observado.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sz w:val="24"/>
          <w:szCs w:val="24"/>
          <w:rtl w:val="0"/>
        </w:rPr>
        <w:t xml:space="preserve">Finalmente, cabe destacar que todos los features retrospectivos mencionados, se calcularán para cada origen de pronóstico definido bajo el esquema multi-slice descrito en la sección 4.1, asegurando que cada observación utilice únicamente información disponible antes del periodo de predicción.</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4.5 Entrenamiento y validación cruzada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al entrenamiento de los modelos de clasificación se utilizarán los más destacados en la literatura: Logistic Regression como baseline, Random Forest y XGBoost. Esta selección se debe a su alta eficacia en las investigaciones de churn no contractual (Gattermann-Itschert &amp; Thonemann, 2021; Lemmens &amp; Gupta, 2020; Martínez et al., 2020; Mena et al., 2024; Mirkovic et al., 2022). La búsqueda de hiperparámetros se realizará mediante grid search, con tuning siempre encapsulado dentro del esquema de validación para evitar leakage. La validación se diseñará específicamente para el hecho de que una misma vendedora puede aparecer en múltiples slices. Por ello, la validación cruzada interna se implementará con GroupKFold usando id_vendedora como grupo, de modo que todas las observaciones de una misma vendedora queden dentro del mismo fold y se evite que patrones individuales aparezcan simultáneamente en entrenamiento y validación. Además, se reservará un test temporal out-of-period separado, ubicado al final de la serie histórica, para obtener una estimación realista del desempeño en despliegue y verificar que el modelo no solo memoriza un régimen específico, sino que generaliza a un período no visto (Gattermann-Itschert &amp; Thonemann, 2021; Mirkovic et al., 2022).</w:t>
      </w:r>
    </w:p>
    <w:p w:rsidR="00000000" w:rsidDel="00000000" w:rsidP="00000000" w:rsidRDefault="00000000" w:rsidRPr="00000000" w14:paraId="000000B3">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B4">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4.6 Evaluación de los modelos propuestos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Finalmente, una vez se </w:t>
      </w:r>
      <w:r w:rsidDel="00000000" w:rsidR="00000000" w:rsidRPr="00000000">
        <w:rPr>
          <w:sz w:val="24"/>
          <w:szCs w:val="24"/>
          <w:rtl w:val="0"/>
        </w:rPr>
        <w:t xml:space="preserve">reentrenen</w:t>
      </w:r>
      <w:r w:rsidDel="00000000" w:rsidR="00000000" w:rsidRPr="00000000">
        <w:rPr>
          <w:sz w:val="24"/>
          <w:szCs w:val="24"/>
          <w:rtl w:val="0"/>
        </w:rPr>
        <w:t xml:space="preserve"> los modelos con los mejores </w:t>
      </w:r>
      <w:r w:rsidDel="00000000" w:rsidR="00000000" w:rsidRPr="00000000">
        <w:rPr>
          <w:sz w:val="24"/>
          <w:szCs w:val="24"/>
          <w:rtl w:val="0"/>
        </w:rPr>
        <w:t xml:space="preserve">hiperparametros</w:t>
      </w:r>
      <w:r w:rsidDel="00000000" w:rsidR="00000000" w:rsidRPr="00000000">
        <w:rPr>
          <w:sz w:val="24"/>
          <w:szCs w:val="24"/>
          <w:rtl w:val="0"/>
        </w:rPr>
        <w:t xml:space="preserve"> identificados, se utilizará el AUC-ROC como métrica principal, sobre el test temporal out-of-period. Asimismo se tomarán en cuenta métricas complementarias como Precision, Recall, Precision y F1 score.  Asimismo se implementarán visualizaciones como la matriz de confusión o la curva ROC, los cuales permitirán realizar un análisis integral y una comparación precisa.</w:t>
      </w:r>
    </w:p>
    <w:p w:rsidR="00000000" w:rsidDel="00000000" w:rsidP="00000000" w:rsidRDefault="00000000" w:rsidRPr="00000000" w14:paraId="000000B7">
      <w:pPr>
        <w:jc w:val="both"/>
        <w:rPr>
          <w:b w:val="1"/>
          <w:bCs w:val="1"/>
          <w:sz w:val="24"/>
          <w:szCs w:val="24"/>
        </w:rPr>
      </w:pPr>
      <w:r w:rsidDel="00000000" w:rsidR="00000000" w:rsidRPr="00000000">
        <w:rPr>
          <w:rtl w:val="0"/>
        </w:rPr>
      </w:r>
    </w:p>
    <w:p w:rsidR="00000000" w:rsidDel="00000000" w:rsidP="00000000" w:rsidRDefault="00000000" w:rsidRPr="00000000" w14:paraId="000000B8">
      <w:pPr>
        <w:jc w:val="both"/>
        <w:rPr>
          <w:b w:val="1"/>
          <w:bCs w:val="1"/>
          <w:sz w:val="24"/>
          <w:szCs w:val="24"/>
        </w:rPr>
      </w:pPr>
      <w:r w:rsidDel="00000000" w:rsidR="00000000" w:rsidRPr="00000000">
        <w:rPr>
          <w:b w:val="1"/>
          <w:bCs w:val="1"/>
          <w:sz w:val="24"/>
          <w:szCs w:val="24"/>
          <w:rtl w:val="0"/>
        </w:rPr>
        <w:t xml:space="preserve">EXPERIMENTACIÓN</w:t>
      </w: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En la presente sección se detalla el proceso llevado a cabo según la metodología propuesta, con el detalle de cada herramienta utilizada. </w:t>
      </w:r>
    </w:p>
    <w:p w:rsidR="00000000" w:rsidDel="00000000" w:rsidP="00000000" w:rsidRDefault="00000000" w:rsidRPr="00000000" w14:paraId="000000BA">
      <w:pPr>
        <w:jc w:val="both"/>
        <w:rPr>
          <w:b w:val="1"/>
          <w:bCs w:val="1"/>
          <w:sz w:val="24"/>
          <w:szCs w:val="24"/>
        </w:rPr>
      </w:pPr>
      <w:r w:rsidDel="00000000" w:rsidR="00000000" w:rsidRPr="00000000">
        <w:rPr>
          <w:b w:val="1"/>
          <w:bCs w:val="1"/>
          <w:sz w:val="24"/>
          <w:szCs w:val="24"/>
          <w:rtl w:val="0"/>
        </w:rPr>
        <w:t xml:space="preserve">5.1 Entendimiento del negocio y construcción del dataset</w:t>
      </w:r>
    </w:p>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Esta etapa estableció las bases empíricas de la investigación: el levantamiento de requerimientos con los usuarios del negocio, la definición operativa del evento de churn y la materialización del dataset de entrenamiento. La fuente de información fue el data warehouse de la empresa, el cual cuenta con tablas de hechos y dimensiones de transacciones y vendedores.</w:t>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En primera instancia, según lo conversado con el negocio, no se contaba con una definición de churn respaldada por análisis cuantitativos empíricos, sin embargo se tomaba en consideración el abandono después de 5 meses sin compras. De esta manera se realizó un análisis del comportamiento de compra para inferir el churn. Sobre la data transaccional se construyó la distribución de tiempos entre compras consecutivas y se calculó la función de hazard de retorno, es decir, la probabilidad condicional de que una vendedora vuelva a comprar tras k meses de inactividad. El hazard se aplanó entre k = 6 (7.3%) y k = 7 (5.9%). </w:t>
      </w:r>
    </w:p>
    <w:p w:rsidR="00000000" w:rsidDel="00000000" w:rsidP="00000000" w:rsidRDefault="00000000" w:rsidRPr="00000000" w14:paraId="000000BD">
      <w:pPr>
        <w:jc w:val="both"/>
        <w:rPr>
          <w:b w:val="1"/>
          <w:bCs w:val="1"/>
          <w:sz w:val="24"/>
          <w:szCs w:val="24"/>
        </w:rPr>
      </w:pPr>
      <w:r w:rsidDel="00000000" w:rsidR="00000000" w:rsidRPr="00000000">
        <w:rPr>
          <w:b w:val="1"/>
          <w:bCs w:val="1"/>
          <w:sz w:val="24"/>
          <w:szCs w:val="24"/>
          <w:rtl w:val="0"/>
        </w:rPr>
        <w:t xml:space="preserve">Figura 7</w:t>
      </w:r>
    </w:p>
    <w:p w:rsidR="00000000" w:rsidDel="00000000" w:rsidP="00000000" w:rsidRDefault="00000000" w:rsidRPr="00000000" w14:paraId="000000BE">
      <w:pPr>
        <w:jc w:val="both"/>
        <w:rPr>
          <w:i w:val="1"/>
          <w:iCs w:val="1"/>
          <w:sz w:val="24"/>
          <w:szCs w:val="24"/>
        </w:rPr>
      </w:pPr>
      <w:r w:rsidDel="00000000" w:rsidR="00000000" w:rsidRPr="00000000">
        <w:rPr>
          <w:i w:val="1"/>
          <w:iCs w:val="1"/>
          <w:sz w:val="24"/>
          <w:szCs w:val="24"/>
          <w:rtl w:val="0"/>
        </w:rPr>
        <w:t xml:space="preserve">Gráfica de probabilidad de comprar en K dada inactividad previa</w:t>
      </w:r>
    </w:p>
    <w:p w:rsidR="00000000" w:rsidDel="00000000" w:rsidP="00000000" w:rsidRDefault="00000000" w:rsidRPr="00000000" w14:paraId="000000BF">
      <w:pPr>
        <w:jc w:val="both"/>
        <w:rPr>
          <w:sz w:val="24"/>
          <w:szCs w:val="24"/>
        </w:rPr>
      </w:pPr>
      <w:r w:rsidDel="00000000" w:rsidR="00000000" w:rsidRPr="00000000">
        <w:rPr>
          <w:sz w:val="24"/>
          <w:szCs w:val="24"/>
        </w:rPr>
        <w:drawing>
          <wp:inline distB="114300" distT="114300" distL="114300" distR="114300">
            <wp:extent cx="5925510" cy="330200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255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Se adoptó entonces la siguiente definición: una vendedora se etiqueta como churn si no registra compras durante los seis meses consecutivos posteriores al mes de observación</w:t>
      </w:r>
    </w:p>
    <w:p w:rsidR="00000000" w:rsidDel="00000000" w:rsidP="00000000" w:rsidRDefault="00000000" w:rsidRPr="00000000" w14:paraId="000000C1">
      <w:pPr>
        <w:jc w:val="both"/>
        <w:rPr>
          <w:sz w:val="24"/>
          <w:szCs w:val="24"/>
        </w:rPr>
      </w:pPr>
      <w:r w:rsidDel="00000000" w:rsidR="00000000" w:rsidRPr="00000000">
        <w:rPr>
          <w:sz w:val="24"/>
          <w:szCs w:val="24"/>
          <w:rtl w:val="0"/>
        </w:rPr>
        <w:t xml:space="preserve">En segundo lugar, una vez definido el churn, se construyeron los paneles (vendedora x mes), cubriendo los periodos 2017-2026. Cada fila corresponde a una vendedora activa en un origen temporal mensual, con su ventana retrospectiva de variables explicativas y su etiqueta de churn calculada sobre los seis meses siguientes. El forecasting origin se desplazó mes a mes, generando aproximadamente 89 cortes temporales. </w:t>
      </w:r>
    </w:p>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A continuación se presenta la query conectada a Big Query de Google Cloud para generar el dataset de entrenamiento. </w:t>
      </w:r>
    </w:p>
    <w:p w:rsidR="00000000" w:rsidDel="00000000" w:rsidP="00000000" w:rsidRDefault="00000000" w:rsidRPr="00000000" w14:paraId="000000C3">
      <w:pPr>
        <w:jc w:val="both"/>
        <w:rPr>
          <w:b w:val="1"/>
          <w:bCs w:val="1"/>
          <w:sz w:val="24"/>
          <w:szCs w:val="24"/>
        </w:rPr>
      </w:pPr>
      <w:r w:rsidDel="00000000" w:rsidR="00000000" w:rsidRPr="00000000">
        <w:rPr>
          <w:b w:val="1"/>
          <w:bCs w:val="1"/>
          <w:sz w:val="24"/>
          <w:szCs w:val="24"/>
          <w:rtl w:val="0"/>
        </w:rPr>
        <w:t xml:space="preserve">Figura 8</w:t>
      </w:r>
    </w:p>
    <w:p w:rsidR="00000000" w:rsidDel="00000000" w:rsidP="00000000" w:rsidRDefault="00000000" w:rsidRPr="00000000" w14:paraId="000000C4">
      <w:pPr>
        <w:jc w:val="both"/>
        <w:rPr>
          <w:sz w:val="24"/>
          <w:szCs w:val="24"/>
        </w:rPr>
      </w:pPr>
      <w:r w:rsidDel="00000000" w:rsidR="00000000" w:rsidRPr="00000000">
        <w:rPr>
          <w:i w:val="1"/>
          <w:iCs w:val="1"/>
          <w:sz w:val="24"/>
          <w:szCs w:val="24"/>
          <w:rtl w:val="0"/>
        </w:rPr>
        <w:t xml:space="preserve">Vista previa del query SQL</w:t>
      </w: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25510" cy="42799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2551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Adicionalmente, en el query se restringió la población a vendedoras con al menos tres meses de compra histórica para no tomar en cuenta a la población que solo ha comprado 1 vez y no ha vuelto a tener más historia. El dataset resultante (training_churn_v5) contiene 23 684 observaciones con una tasa de churn del 27.5%. Este diseño multi-slice incrementó el tamaño efectivo del conjunto de entrenamiento, mitigó el desbalance de clases, expuso al modelo a distintos regímenes temporales y alineó el procedimiento con el escenario de despliegue mensual. La estructura sigue la lógica de multi-slicing aplicada por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y Mirkovic et al. (2022).</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A continuación se presenta una vista previa del dataset de entrenamiento.</w:t>
      </w:r>
    </w:p>
    <w:p w:rsidR="00000000" w:rsidDel="00000000" w:rsidP="00000000" w:rsidRDefault="00000000" w:rsidRPr="00000000" w14:paraId="000000CA">
      <w:pPr>
        <w:jc w:val="both"/>
        <w:rPr>
          <w:b w:val="1"/>
          <w:bCs w:val="1"/>
          <w:sz w:val="24"/>
          <w:szCs w:val="24"/>
        </w:rPr>
      </w:pPr>
      <w:r w:rsidDel="00000000" w:rsidR="00000000" w:rsidRPr="00000000">
        <w:rPr>
          <w:b w:val="1"/>
          <w:bCs w:val="1"/>
          <w:sz w:val="24"/>
          <w:szCs w:val="24"/>
          <w:rtl w:val="0"/>
        </w:rPr>
        <w:t xml:space="preserve">Figura 9</w:t>
      </w:r>
    </w:p>
    <w:p w:rsidR="00000000" w:rsidDel="00000000" w:rsidP="00000000" w:rsidRDefault="00000000" w:rsidRPr="00000000" w14:paraId="000000CB">
      <w:pPr>
        <w:jc w:val="both"/>
        <w:rPr>
          <w:i w:val="1"/>
          <w:iCs w:val="1"/>
          <w:sz w:val="24"/>
          <w:szCs w:val="24"/>
        </w:rPr>
      </w:pPr>
      <w:r w:rsidDel="00000000" w:rsidR="00000000" w:rsidRPr="00000000">
        <w:rPr>
          <w:i w:val="1"/>
          <w:iCs w:val="1"/>
          <w:sz w:val="24"/>
          <w:szCs w:val="24"/>
          <w:rtl w:val="0"/>
        </w:rPr>
        <w:t xml:space="preserve">Dataset de entrenamiento con multi-slicing</w:t>
      </w:r>
    </w:p>
    <w:p w:rsidR="00000000" w:rsidDel="00000000" w:rsidP="00000000" w:rsidRDefault="00000000" w:rsidRPr="00000000" w14:paraId="000000CC">
      <w:pPr>
        <w:jc w:val="both"/>
        <w:rPr>
          <w:i w:val="1"/>
          <w:iCs w:val="1"/>
          <w:sz w:val="24"/>
          <w:szCs w:val="24"/>
        </w:rPr>
      </w:pPr>
      <w:r w:rsidDel="00000000" w:rsidR="00000000" w:rsidRPr="00000000">
        <w:rPr>
          <w:i w:val="1"/>
          <w:iCs w:val="1"/>
          <w:sz w:val="24"/>
          <w:szCs w:val="24"/>
        </w:rPr>
        <w:drawing>
          <wp:inline distB="114300" distT="114300" distL="114300" distR="114300">
            <wp:extent cx="5925510" cy="22098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2551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E">
      <w:pPr>
        <w:spacing w:before="120" w:lineRule="auto"/>
        <w:jc w:val="both"/>
        <w:rPr>
          <w:b w:val="1"/>
          <w:bCs w:val="1"/>
          <w:sz w:val="24"/>
          <w:szCs w:val="24"/>
        </w:rPr>
      </w:pPr>
      <w:r w:rsidDel="00000000" w:rsidR="00000000" w:rsidRPr="00000000">
        <w:rPr>
          <w:b w:val="1"/>
          <w:bCs w:val="1"/>
          <w:sz w:val="24"/>
          <w:szCs w:val="24"/>
          <w:rtl w:val="0"/>
        </w:rPr>
        <w:t xml:space="preserve">5.2 Análisis exploratorio de los datos</w:t>
      </w:r>
    </w:p>
    <w:p w:rsidR="00000000" w:rsidDel="00000000" w:rsidP="00000000" w:rsidRDefault="00000000" w:rsidRPr="00000000" w14:paraId="000000CF">
      <w:pPr>
        <w:jc w:val="both"/>
        <w:rPr>
          <w:sz w:val="24"/>
          <w:szCs w:val="24"/>
        </w:rPr>
      </w:pPr>
      <w:r w:rsidDel="00000000" w:rsidR="00000000" w:rsidRPr="00000000">
        <w:rPr>
          <w:sz w:val="24"/>
          <w:szCs w:val="24"/>
          <w:rtl w:val="0"/>
        </w:rPr>
        <w:t xml:space="preserve">El análisis exploratorio se realizó en dos niveles. El primero, sobre las tablas crudas del </w:t>
      </w:r>
      <w:r w:rsidDel="00000000" w:rsidR="00000000" w:rsidRPr="00000000">
        <w:rPr>
          <w:i w:val="1"/>
          <w:iCs w:val="1"/>
          <w:sz w:val="24"/>
          <w:szCs w:val="24"/>
          <w:rtl w:val="0"/>
        </w:rPr>
        <w:t xml:space="preserve">data warehouse</w:t>
      </w:r>
      <w:r w:rsidDel="00000000" w:rsidR="00000000" w:rsidRPr="00000000">
        <w:rPr>
          <w:sz w:val="24"/>
          <w:szCs w:val="24"/>
          <w:rtl w:val="0"/>
        </w:rPr>
        <w:t xml:space="preserve">, tuvo como propósito conocer la materia prima antes de construir cualquier dataset: tamaño, calidad e integridad referencial de cada tabla. El segundo, sobre la tabla de modelado ya construida, examinó el comportamiento del target, la estructura del panel, la completitud, las distribuciones y el poder predictivo univariado de las variables. Para todo el análisis se utilizó Python, con las librerías Pandas y NumPy para el procesamiento y transformación de datos, y Seaborn y Matplotlib para la generación de visualizaciones.</w:t>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En el análisis de las tablas crudas se detectaron tres hallazgos de calidad relevantes para el modelado. Primero, la columna `fecha_nacimiento` de `dim_vendedor` presenta un 58.4 % de valores nulos y un rango imposible (desde 1860 hasta 2224), lo que invalida la edad derivada como variable confiable. Segundo, el 10.5 % de las líneas de detalle referencian productos sin ficha en `dim_producto`, lo que motivó la imputación a 'Ropa' descrita en la sección anterior. Tercero, la reconciliación entre la cabecera del pedido y la suma de sus líneas de detalle cuadra en el 95.6 % de los casos, una consistencia aceptable. Asimismo, se confirmó que las campañas dejaron de constituir una unidad temporal consistente a partir de 2025 (pasando de una a dos o tres campañas simultáneas por mes), lo que justifica la elección del mes calendario como unidad temporal del panel en lugar de la campaña.</w:t>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En el análisis de la tabla de modelado se verificó, en primer lugar, que la prevalencia de churn (30.9 %) constituye un desbalance moderado, coherente con el rango reportado por Mirkovic et al. (2022). En segundo lugar, se confirmó la estabilidad temporal del target, condición necesaria para una validación </w:t>
      </w:r>
      <w:r w:rsidDel="00000000" w:rsidR="00000000" w:rsidRPr="00000000">
        <w:rPr>
          <w:i w:val="1"/>
          <w:iCs w:val="1"/>
          <w:sz w:val="24"/>
          <w:szCs w:val="24"/>
          <w:rtl w:val="0"/>
        </w:rPr>
        <w:t xml:space="preserve">out-of-period</w:t>
      </w:r>
      <w:sdt>
        <w:sdtPr>
          <w:id w:val="-1500246476"/>
          <w:tag w:val="goog_rdk_4"/>
        </w:sdtPr>
        <w:sdtContent>
          <w:r w:rsidDel="00000000" w:rsidR="00000000" w:rsidRPr="00000000">
            <w:rPr>
              <w:rFonts w:ascii="Gungsuh" w:cs="Gungsuh" w:eastAsia="Gungsuh" w:hAnsi="Gungsuh"/>
              <w:sz w:val="24"/>
              <w:szCs w:val="24"/>
              <w:rtl w:val="0"/>
            </w:rPr>
            <w:t xml:space="preserve"> válida: la tasa de churn anual oscila entre 0.27 y 0.37, con un repunte durante el período de pandemia (2019–2020) y un comportamiento estable en los años posteriores. En tercer lugar, el análisis de poder predictivo univariado (medido como AUC orientado de cada variable por separado) reveló que las variables monetarias y de frecuencia en ventanas largas encabezan la señal: `monto_u12` (AUC 0.720), `n_prod_u12` (0.720), `n_ped_u12` (0.716), `monto_u6` (0.715) y `n_ped_u6` (0.706), todas en sentido inverso (a mayor actividad, menor probabilidad de abandono). Finalmente, el análisis de correlación evidenció redundancia esperable entre las ventanas RFM solapadas (u3 ⊂ u6 ⊂ u12) y las variables acumuladas, con diecisiete pares de variables por encima de |r| &gt; 0.85 (por ejemplo, monto y productos acumulados, r = 0.975); esta redundancia no afecta a los modelos basados en árboles, pero se documentó para la interpretación de importancias y para los modelos lineales.</w:t>
          </w:r>
        </w:sdtContent>
      </w:sdt>
    </w:p>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El análisis bivariado de las variables categóricas frente al churn mostró diferencias de comportamiento aprovechables: las vendedoras de tipo "Líder" abandonan menos (22 %) que las de tipo "Asesora" (32 %), y existe variabilidad geográfica relevante (departamentos como Cajamarca y La Libertad superan el 34 %, frente a Lima en torno al 27 %).</w:t>
      </w:r>
    </w:p>
    <w:p w:rsidR="00000000" w:rsidDel="00000000" w:rsidP="00000000" w:rsidRDefault="00000000" w:rsidRPr="00000000" w14:paraId="000000D3">
      <w:pPr>
        <w:spacing w:before="120" w:lineRule="auto"/>
        <w:jc w:val="both"/>
        <w:rPr>
          <w:b w:val="1"/>
          <w:bCs w:val="1"/>
          <w:sz w:val="24"/>
          <w:szCs w:val="24"/>
        </w:rPr>
      </w:pPr>
      <w:r w:rsidDel="00000000" w:rsidR="00000000" w:rsidRPr="00000000">
        <w:rPr>
          <w:b w:val="1"/>
          <w:bCs w:val="1"/>
          <w:sz w:val="24"/>
          <w:szCs w:val="24"/>
          <w:rtl w:val="0"/>
        </w:rPr>
        <w:t xml:space="preserve">Figura 10</w:t>
      </w:r>
    </w:p>
    <w:p w:rsidR="00000000" w:rsidDel="00000000" w:rsidP="00000000" w:rsidRDefault="00000000" w:rsidRPr="00000000" w14:paraId="000000D4">
      <w:pPr>
        <w:jc w:val="both"/>
        <w:rPr>
          <w:i w:val="1"/>
          <w:iCs w:val="1"/>
          <w:sz w:val="24"/>
          <w:szCs w:val="24"/>
        </w:rPr>
      </w:pPr>
      <w:r w:rsidDel="00000000" w:rsidR="00000000" w:rsidRPr="00000000">
        <w:rPr>
          <w:i w:val="1"/>
          <w:iCs w:val="1"/>
          <w:sz w:val="24"/>
          <w:szCs w:val="24"/>
          <w:rtl w:val="0"/>
        </w:rPr>
        <w:t xml:space="preserve">Balance de clases y estabilidad temporal de la tasa de churn</w:t>
      </w:r>
    </w:p>
    <w:p w:rsidR="00000000" w:rsidDel="00000000" w:rsidP="00000000" w:rsidRDefault="00000000" w:rsidRPr="00000000" w14:paraId="000000D5">
      <w:pPr>
        <w:jc w:val="both"/>
        <w:rPr>
          <w:i w:val="1"/>
          <w:iCs w:val="1"/>
          <w:sz w:val="24"/>
          <w:szCs w:val="24"/>
        </w:rPr>
      </w:pPr>
      <w:r w:rsidDel="00000000" w:rsidR="00000000" w:rsidRPr="00000000">
        <w:rPr>
          <w:i w:val="1"/>
          <w:iCs w:val="1"/>
          <w:sz w:val="24"/>
          <w:szCs w:val="24"/>
        </w:rPr>
        <w:drawing>
          <wp:inline distB="114300" distT="114300" distL="114300" distR="114300">
            <wp:extent cx="5925510" cy="25781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2551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before="120" w:lineRule="auto"/>
        <w:jc w:val="both"/>
        <w:rPr>
          <w:b w:val="1"/>
          <w:bCs w:val="1"/>
          <w:sz w:val="24"/>
          <w:szCs w:val="24"/>
        </w:rPr>
      </w:pPr>
      <w:r w:rsidDel="00000000" w:rsidR="00000000" w:rsidRPr="00000000">
        <w:rPr>
          <w:b w:val="1"/>
          <w:bCs w:val="1"/>
          <w:sz w:val="24"/>
          <w:szCs w:val="24"/>
          <w:rtl w:val="0"/>
        </w:rPr>
        <w:t xml:space="preserve">Figura 11</w:t>
      </w:r>
    </w:p>
    <w:p w:rsidR="00000000" w:rsidDel="00000000" w:rsidP="00000000" w:rsidRDefault="00000000" w:rsidRPr="00000000" w14:paraId="000000D7">
      <w:pPr>
        <w:jc w:val="both"/>
        <w:rPr>
          <w:i w:val="1"/>
          <w:iCs w:val="1"/>
          <w:sz w:val="24"/>
          <w:szCs w:val="24"/>
        </w:rPr>
      </w:pPr>
      <w:r w:rsidDel="00000000" w:rsidR="00000000" w:rsidRPr="00000000">
        <w:rPr>
          <w:i w:val="1"/>
          <w:iCs w:val="1"/>
          <w:sz w:val="24"/>
          <w:szCs w:val="24"/>
          <w:rtl w:val="0"/>
        </w:rPr>
        <w:t xml:space="preserve">Poder predictivo univariado de las variables numéricas (AUC orientado)</w:t>
      </w:r>
    </w:p>
    <w:p w:rsidR="00000000" w:rsidDel="00000000" w:rsidP="00000000" w:rsidRDefault="00000000" w:rsidRPr="00000000" w14:paraId="000000D8">
      <w:pPr>
        <w:jc w:val="both"/>
        <w:rPr>
          <w:i w:val="1"/>
          <w:iCs w:val="1"/>
          <w:sz w:val="24"/>
          <w:szCs w:val="24"/>
        </w:rPr>
      </w:pPr>
      <w:r w:rsidDel="00000000" w:rsidR="00000000" w:rsidRPr="00000000">
        <w:rPr>
          <w:i w:val="1"/>
          <w:iCs w:val="1"/>
          <w:sz w:val="24"/>
          <w:szCs w:val="24"/>
        </w:rPr>
        <w:drawing>
          <wp:inline distB="114300" distT="114300" distL="114300" distR="114300">
            <wp:extent cx="3944368" cy="345031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944368" cy="345031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before="12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before="120" w:lineRule="auto"/>
        <w:jc w:val="both"/>
        <w:rPr>
          <w:b w:val="1"/>
          <w:bCs w:val="1"/>
          <w:sz w:val="24"/>
          <w:szCs w:val="24"/>
        </w:rPr>
      </w:pPr>
      <w:r w:rsidDel="00000000" w:rsidR="00000000" w:rsidRPr="00000000">
        <w:rPr>
          <w:b w:val="1"/>
          <w:bCs w:val="1"/>
          <w:sz w:val="24"/>
          <w:szCs w:val="24"/>
          <w:rtl w:val="0"/>
        </w:rPr>
        <w:t xml:space="preserve">5.3 Preprocesamiento de datos</w:t>
      </w:r>
    </w:p>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El preprocesamiento tuvo como finalidad limpiar y transformar los datos para optimizar el entrenamiento, respetando estrictamente la regla de oro de la validación </w:t>
      </w:r>
      <w:r w:rsidDel="00000000" w:rsidR="00000000" w:rsidRPr="00000000">
        <w:rPr>
          <w:i w:val="1"/>
          <w:iCs w:val="1"/>
          <w:sz w:val="24"/>
          <w:szCs w:val="24"/>
          <w:rtl w:val="0"/>
        </w:rPr>
        <w:t xml:space="preserve">out-of-period</w:t>
      </w:r>
      <w:r w:rsidDel="00000000" w:rsidR="00000000" w:rsidRPr="00000000">
        <w:rPr>
          <w:sz w:val="24"/>
          <w:szCs w:val="24"/>
          <w:rtl w:val="0"/>
        </w:rPr>
        <w:t xml:space="preserve">: todo estadístico derivado de los datos se aprende exclusivamente del conjunto de entrenamiento y se aplica por igual a entrenamiento y prueba, de modo de no filtrar información del futuro. Para ello se implementaron dos funciones, una que ajusta los parámetros sobre el train del </w:t>
      </w:r>
      <w:r w:rsidDel="00000000" w:rsidR="00000000" w:rsidRPr="00000000">
        <w:rPr>
          <w:i w:val="1"/>
          <w:iCs w:val="1"/>
          <w:sz w:val="24"/>
          <w:szCs w:val="24"/>
          <w:rtl w:val="0"/>
        </w:rPr>
        <w:t xml:space="preserve">split</w:t>
      </w:r>
      <w:r w:rsidDel="00000000" w:rsidR="00000000" w:rsidRPr="00000000">
        <w:rPr>
          <w:sz w:val="24"/>
          <w:szCs w:val="24"/>
          <w:rtl w:val="0"/>
        </w:rPr>
        <w:t xml:space="preserve"> temporal y otra que los aplica al dataset completo.</w:t>
      </w:r>
    </w:p>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Las transformaciones se clasificaron en dos tipos. Las </w:t>
      </w:r>
      <w:r w:rsidDel="00000000" w:rsidR="00000000" w:rsidRPr="00000000">
        <w:rPr>
          <w:b w:val="1"/>
          <w:bCs w:val="1"/>
          <w:sz w:val="24"/>
          <w:szCs w:val="24"/>
          <w:rtl w:val="0"/>
        </w:rPr>
        <w:t xml:space="preserve">estructurales</w:t>
      </w:r>
      <w:r w:rsidDel="00000000" w:rsidR="00000000" w:rsidRPr="00000000">
        <w:rPr>
          <w:sz w:val="24"/>
          <w:szCs w:val="24"/>
          <w:rtl w:val="0"/>
        </w:rPr>
        <w:t xml:space="preserve"> (sin riesgo de fuga) incluyeron el descarte de la variable `edad`, debido a su 58 % de nulos y la baja calidad de `fecha_nacimiento` y de `provincia`, por su alta cardinalidad (221 valores), que introduce dispersión y riesgo de identificación individual, así como la imputación a cero de las variables de tendencia y de los ratios cuyo denominador es nulo, dado que un valor faltante en ellas equivale a la ausencia de ventana previa (sin cambio observable). Las transformaciones dependientes de los datos (ajustadas solo en train) comprendieron la imputación de `antiguedad_meses` con la mediana del entrenamiento (12 meses) y la codificación </w:t>
      </w:r>
      <w:r w:rsidDel="00000000" w:rsidR="00000000" w:rsidRPr="00000000">
        <w:rPr>
          <w:i w:val="1"/>
          <w:iCs w:val="1"/>
          <w:sz w:val="24"/>
          <w:szCs w:val="24"/>
          <w:rtl w:val="0"/>
        </w:rPr>
        <w:t xml:space="preserve">one-hot</w:t>
      </w:r>
      <w:r w:rsidDel="00000000" w:rsidR="00000000" w:rsidRPr="00000000">
        <w:rPr>
          <w:sz w:val="24"/>
          <w:szCs w:val="24"/>
          <w:rtl w:val="0"/>
        </w:rPr>
        <w:t xml:space="preserve"> de las variables categóricas `sexo`, `tipo_vendedor` y `departamento`, empleando el vocabulario de categorías observado en el train; las categorías presentes únicamente en el conjunto de prueba quedan representadas como todo-ceros, comportamiento correcto bajo el esquema </w:t>
      </w:r>
      <w:r w:rsidDel="00000000" w:rsidR="00000000" w:rsidRPr="00000000">
        <w:rPr>
          <w:i w:val="1"/>
          <w:iCs w:val="1"/>
          <w:sz w:val="24"/>
          <w:szCs w:val="24"/>
          <w:rtl w:val="0"/>
        </w:rPr>
        <w:t xml:space="preserve">fit-en-train</w:t>
      </w:r>
      <w:r w:rsidDel="00000000" w:rsidR="00000000" w:rsidRPr="00000000">
        <w:rPr>
          <w:sz w:val="24"/>
          <w:szCs w:val="24"/>
          <w:rtl w:val="0"/>
        </w:rPr>
        <w:t xml:space="preserve">.</w:t>
      </w:r>
    </w:p>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En cuanto al tratamiento del desbalance, no se aplicó remuestreo explícito (por ejemplo, </w:t>
      </w:r>
      <w:r w:rsidDel="00000000" w:rsidR="00000000" w:rsidRPr="00000000">
        <w:rPr>
          <w:i w:val="1"/>
          <w:iCs w:val="1"/>
          <w:sz w:val="24"/>
          <w:szCs w:val="24"/>
          <w:rtl w:val="0"/>
        </w:rPr>
        <w:t xml:space="preserve">under-sampling</w:t>
      </w:r>
      <w:r w:rsidDel="00000000" w:rsidR="00000000" w:rsidRPr="00000000">
        <w:rPr>
          <w:sz w:val="24"/>
          <w:szCs w:val="24"/>
          <w:rtl w:val="0"/>
        </w:rPr>
        <w:t xml:space="preserve"> o SMOTE) como paso estándar del </w:t>
      </w:r>
      <w:r w:rsidDel="00000000" w:rsidR="00000000" w:rsidRPr="00000000">
        <w:rPr>
          <w:i w:val="1"/>
          <w:iCs w:val="1"/>
          <w:sz w:val="24"/>
          <w:szCs w:val="24"/>
          <w:rtl w:val="0"/>
        </w:rPr>
        <w:t xml:space="preserve">pipeline</w:t>
      </w:r>
      <w:r w:rsidDel="00000000" w:rsidR="00000000" w:rsidRPr="00000000">
        <w:rPr>
          <w:sz w:val="24"/>
          <w:szCs w:val="24"/>
          <w:rtl w:val="0"/>
        </w:rPr>
        <w:t xml:space="preserve">, dado que el diseño </w:t>
      </w:r>
      <w:r w:rsidDel="00000000" w:rsidR="00000000" w:rsidRPr="00000000">
        <w:rPr>
          <w:i w:val="1"/>
          <w:iCs w:val="1"/>
          <w:sz w:val="24"/>
          <w:szCs w:val="24"/>
          <w:rtl w:val="0"/>
        </w:rPr>
        <w:t xml:space="preserve">multi-slicing</w:t>
      </w:r>
      <w:r w:rsidDel="00000000" w:rsidR="00000000" w:rsidRPr="00000000">
        <w:rPr>
          <w:sz w:val="24"/>
          <w:szCs w:val="24"/>
          <w:rtl w:val="0"/>
        </w:rPr>
        <w:t xml:space="preserve"> incrementa la representación de la clase minoritaria y que la literatura recomienda el aprendizaje sensible al costo en su lugar (Gattermann-Itschert &amp; Thonemann, 2021; Mirkovic et al., 2022). Asimismo, la estandarización se reservó para los modelos sensibles a la escala (regresión logística) y no se aplicó a los modelos basados en árboles (Random Forest, XGBoost), que son invariantes a transformaciones monótonas de las variables (De Caigny et al., 2018; Mirkovic et al., 2022). El conjunto preprocesado resultante quedó conformado por 78 variables, sin valores nulos ni columnas de tipo texto, listo para la ingeniería de variables.</w:t>
      </w:r>
    </w:p>
    <w:p w:rsidR="00000000" w:rsidDel="00000000" w:rsidP="00000000" w:rsidRDefault="00000000" w:rsidRPr="00000000" w14:paraId="000000DE">
      <w:pPr>
        <w:spacing w:before="120" w:lineRule="auto"/>
        <w:jc w:val="both"/>
        <w:rPr>
          <w:b w:val="1"/>
          <w:bCs w:val="1"/>
          <w:sz w:val="24"/>
          <w:szCs w:val="24"/>
        </w:rPr>
      </w:pPr>
      <w:r w:rsidDel="00000000" w:rsidR="00000000" w:rsidRPr="00000000">
        <w:rPr>
          <w:b w:val="1"/>
          <w:bCs w:val="1"/>
          <w:sz w:val="24"/>
          <w:szCs w:val="24"/>
          <w:rtl w:val="0"/>
        </w:rPr>
        <w:t xml:space="preserve">5.4 Ingeniería de variables y Selección</w:t>
      </w:r>
    </w:p>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La ingeniería de variables se organizó en torno al enfoque LRFM, extendido con variables acumuladas y de cambio según Mirkovic et al. (2022). Por eficiencia y para garantizar la correcta construcción de las ventanas temporales sobre el panel, el grueso de estas variables se materializa en la consulta SQL durante la construcción del dataset (sección 5.1) mediante </w:t>
      </w:r>
      <w:r w:rsidDel="00000000" w:rsidR="00000000" w:rsidRPr="00000000">
        <w:rPr>
          <w:i w:val="1"/>
          <w:iCs w:val="1"/>
          <w:sz w:val="24"/>
          <w:szCs w:val="24"/>
          <w:rtl w:val="0"/>
        </w:rPr>
        <w:t xml:space="preserve">window functions</w:t>
      </w:r>
      <w:r w:rsidDel="00000000" w:rsidR="00000000" w:rsidRPr="00000000">
        <w:rPr>
          <w:sz w:val="24"/>
          <w:szCs w:val="24"/>
          <w:rtl w:val="0"/>
        </w:rPr>
        <w:t xml:space="preserve"> de BigQuery; la etapa de ingeniería de variables propiamente dicha, sobre el dataset ya construido, añade un conjunto reducido de razones derivadas y ejecuta la selección de variables. El esquema completo se diseñó así: la dimensión </w:t>
      </w:r>
      <w:r w:rsidDel="00000000" w:rsidR="00000000" w:rsidRPr="00000000">
        <w:rPr>
          <w:i w:val="1"/>
          <w:iCs w:val="1"/>
          <w:sz w:val="24"/>
          <w:szCs w:val="24"/>
          <w:rtl w:val="0"/>
        </w:rPr>
        <w:t xml:space="preserve">Length</w:t>
      </w:r>
      <w:r w:rsidDel="00000000" w:rsidR="00000000" w:rsidRPr="00000000">
        <w:rPr>
          <w:sz w:val="24"/>
          <w:szCs w:val="24"/>
          <w:rtl w:val="0"/>
        </w:rPr>
        <w:t xml:space="preserve"> se representó mediante la antigüedad de la vendedora y los registros acumulados de compra hasta el mes de observación; </w:t>
      </w:r>
      <w:r w:rsidDel="00000000" w:rsidR="00000000" w:rsidRPr="00000000">
        <w:rPr>
          <w:i w:val="1"/>
          <w:iCs w:val="1"/>
          <w:sz w:val="24"/>
          <w:szCs w:val="24"/>
          <w:rtl w:val="0"/>
        </w:rPr>
        <w:t xml:space="preserve">Recency</w:t>
      </w:r>
      <w:r w:rsidDel="00000000" w:rsidR="00000000" w:rsidRPr="00000000">
        <w:rPr>
          <w:sz w:val="24"/>
          <w:szCs w:val="24"/>
          <w:rtl w:val="0"/>
        </w:rPr>
        <w:t xml:space="preserve">, mediante los meses transcurridos desde la compra anterior; </w:t>
      </w:r>
      <w:r w:rsidDel="00000000" w:rsidR="00000000" w:rsidRPr="00000000">
        <w:rPr>
          <w:i w:val="1"/>
          <w:iCs w:val="1"/>
          <w:sz w:val="24"/>
          <w:szCs w:val="24"/>
          <w:rtl w:val="0"/>
        </w:rPr>
        <w:t xml:space="preserve">Frequency</w:t>
      </w:r>
      <w:r w:rsidDel="00000000" w:rsidR="00000000" w:rsidRPr="00000000">
        <w:rPr>
          <w:sz w:val="24"/>
          <w:szCs w:val="24"/>
          <w:rtl w:val="0"/>
        </w:rPr>
        <w:t xml:space="preserve">, mediante la intensidad de compra y la tasa de actividad en ventanas previas; y </w:t>
      </w:r>
      <w:r w:rsidDel="00000000" w:rsidR="00000000" w:rsidRPr="00000000">
        <w:rPr>
          <w:i w:val="1"/>
          <w:iCs w:val="1"/>
          <w:sz w:val="24"/>
          <w:szCs w:val="24"/>
          <w:rtl w:val="0"/>
        </w:rPr>
        <w:t xml:space="preserve">Monetary</w:t>
      </w:r>
      <w:r w:rsidDel="00000000" w:rsidR="00000000" w:rsidRPr="00000000">
        <w:rPr>
          <w:sz w:val="24"/>
          <w:szCs w:val="24"/>
          <w:rtl w:val="0"/>
        </w:rPr>
        <w:t xml:space="preserve">, mediante el monto comprado, el ticket promedio y la dispersión del gasto. Sobre esta base se calcularon agregaciones en ventanas móviles retrospectivas a tres horizontes (3, 6 y 12 meses), que funcionan como promedios móviles de RFM y permiten contrastar el comportamiento reciente con el de mediano y largo plazo.</w:t>
      </w:r>
    </w:p>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A partir de estas ventanas se derivaron tres familias de indicadores. Las </w:t>
      </w:r>
      <w:r w:rsidDel="00000000" w:rsidR="00000000" w:rsidRPr="00000000">
        <w:rPr>
          <w:b w:val="1"/>
          <w:bCs w:val="1"/>
          <w:sz w:val="24"/>
          <w:szCs w:val="24"/>
          <w:rtl w:val="0"/>
        </w:rPr>
        <w:t xml:space="preserve">variables de tendencia</w:t>
      </w:r>
      <w:r w:rsidDel="00000000" w:rsidR="00000000" w:rsidRPr="00000000">
        <w:rPr>
          <w:sz w:val="24"/>
          <w:szCs w:val="24"/>
          <w:rtl w:val="0"/>
        </w:rPr>
        <w:t xml:space="preserve">, normalizadas en el rango [-1, 1], comparan la actividad del último trimestre frente al trimestre inmediatamente anterior, capturando aceleración o desaceleración del comportamiento de compra. Las </w:t>
      </w:r>
      <w:r w:rsidDel="00000000" w:rsidR="00000000" w:rsidRPr="00000000">
        <w:rPr>
          <w:b w:val="1"/>
          <w:bCs w:val="1"/>
          <w:sz w:val="24"/>
          <w:szCs w:val="24"/>
          <w:rtl w:val="0"/>
        </w:rPr>
        <w:t xml:space="preserve">variables acumuladas</w:t>
      </w:r>
      <w:r w:rsidDel="00000000" w:rsidR="00000000" w:rsidRPr="00000000">
        <w:rPr>
          <w:sz w:val="24"/>
          <w:szCs w:val="24"/>
          <w:rtl w:val="0"/>
        </w:rPr>
        <w:t xml:space="preserve"> (</w:t>
      </w:r>
      <w:r w:rsidDel="00000000" w:rsidR="00000000" w:rsidRPr="00000000">
        <w:rPr>
          <w:i w:val="1"/>
          <w:iCs w:val="1"/>
          <w:sz w:val="24"/>
          <w:szCs w:val="24"/>
          <w:rtl w:val="0"/>
        </w:rPr>
        <w:t xml:space="preserve">cumulative features</w:t>
      </w:r>
      <w:r w:rsidDel="00000000" w:rsidR="00000000" w:rsidRPr="00000000">
        <w:rPr>
          <w:sz w:val="24"/>
          <w:szCs w:val="24"/>
          <w:rtl w:val="0"/>
        </w:rPr>
        <w:t xml:space="preserve">, CF) agregan toda la historia disponible de la vendedora hasta el mes de observación, como monto, pedidos y productos acumulados, ticket histórico, monto por producto y monto por mes activo, capturando el nivel absoluto de la relación de largo plazo que las ventanas topadas a doce meses no observan. Las </w:t>
      </w:r>
      <w:r w:rsidDel="00000000" w:rsidR="00000000" w:rsidRPr="00000000">
        <w:rPr>
          <w:b w:val="1"/>
          <w:bCs w:val="1"/>
          <w:sz w:val="24"/>
          <w:szCs w:val="24"/>
          <w:rtl w:val="0"/>
        </w:rPr>
        <w:t xml:space="preserve">variables de cambio</w:t>
      </w:r>
      <w:r w:rsidDel="00000000" w:rsidR="00000000" w:rsidRPr="00000000">
        <w:rPr>
          <w:sz w:val="24"/>
          <w:szCs w:val="24"/>
          <w:rtl w:val="0"/>
        </w:rPr>
        <w:t xml:space="preserve"> (</w:t>
      </w:r>
      <w:r w:rsidDel="00000000" w:rsidR="00000000" w:rsidRPr="00000000">
        <w:rPr>
          <w:i w:val="1"/>
          <w:iCs w:val="1"/>
          <w:sz w:val="24"/>
          <w:szCs w:val="24"/>
          <w:rtl w:val="0"/>
        </w:rPr>
        <w:t xml:space="preserve">delta features</w:t>
      </w:r>
      <w:r w:rsidDel="00000000" w:rsidR="00000000" w:rsidRPr="00000000">
        <w:rPr>
          <w:sz w:val="24"/>
          <w:szCs w:val="24"/>
          <w:rtl w:val="0"/>
        </w:rPr>
        <w:t xml:space="preserve">, DF) cuantifican la diferencia del mes vigente respecto a los meses </w:t>
      </w:r>
      <w:sdt>
        <w:sdtPr>
          <w:id w:val="-160282813"/>
          <w:tag w:val="goog_rdk_5"/>
        </w:sdtPr>
        <w:sdtContent>
          <w:r w:rsidDel="00000000" w:rsidR="00000000" w:rsidRPr="00000000">
            <w:rPr>
              <w:rFonts w:ascii="Gungsuh" w:cs="Gungsuh" w:eastAsia="Gungsuh" w:hAnsi="Gungsuh"/>
              <w:i w:val="1"/>
              <w:iCs w:val="1"/>
              <w:sz w:val="24"/>
              <w:szCs w:val="24"/>
              <w:rtl w:val="0"/>
            </w:rPr>
            <w:t xml:space="preserve">t − n</w:t>
          </w:r>
        </w:sdtContent>
      </w:sdt>
      <w:r w:rsidDel="00000000" w:rsidR="00000000" w:rsidRPr="00000000">
        <w:rPr>
          <w:sz w:val="24"/>
          <w:szCs w:val="24"/>
          <w:rtl w:val="0"/>
        </w:rPr>
        <w:t xml:space="preserve"> con </w:t>
      </w:r>
      <w:r w:rsidDel="00000000" w:rsidR="00000000" w:rsidRPr="00000000">
        <w:rPr>
          <w:i w:val="1"/>
          <w:iCs w:val="1"/>
          <w:sz w:val="24"/>
          <w:szCs w:val="24"/>
          <w:rtl w:val="0"/>
        </w:rPr>
        <w:t xml:space="preserve">n</w:t>
      </w:r>
      <w:sdt>
        <w:sdtPr>
          <w:id w:val="-1516948375"/>
          <w:tag w:val="goog_rdk_6"/>
        </w:sdtPr>
        <w:sdtContent>
          <w:r w:rsidDel="00000000" w:rsidR="00000000" w:rsidRPr="00000000">
            <w:rPr>
              <w:rFonts w:ascii="Gungsuh" w:cs="Gungsuh" w:eastAsia="Gungsuh" w:hAnsi="Gungsuh"/>
              <w:sz w:val="24"/>
              <w:szCs w:val="24"/>
              <w:rtl w:val="0"/>
            </w:rPr>
            <w:t xml:space="preserve"> ∈ {1, 3, 6, 9, 12}. Estas tres familias se computan en el SQL. Ya en la etapa de ingeniería de variables propiamente dicha (sobre el dataset preprocesado) se añadieron las </w:t>
          </w:r>
        </w:sdtContent>
      </w:sdt>
      <w:r w:rsidDel="00000000" w:rsidR="00000000" w:rsidRPr="00000000">
        <w:rPr>
          <w:b w:val="1"/>
          <w:bCs w:val="1"/>
          <w:sz w:val="24"/>
          <w:szCs w:val="24"/>
          <w:rtl w:val="0"/>
        </w:rPr>
        <w:t xml:space="preserve">únicas seis variables nuevas de esta fase</w:t>
      </w:r>
      <w:r w:rsidDel="00000000" w:rsidR="00000000" w:rsidRPr="00000000">
        <w:rPr>
          <w:sz w:val="24"/>
          <w:szCs w:val="24"/>
          <w:rtl w:val="0"/>
        </w:rPr>
        <w:t xml:space="preserve">, de razón e intensidad: el ticket promedio en ventanas de 3 y 12 meses, la intensidad de compra del último trimestre, el tamaño promedio de canasta, la recencia normalizada y la tasa de actividad reciente frente a la histórica. Todas las variables retrospectivas se calcularon para cada origen de pronóstico bajo el esquema </w:t>
      </w:r>
      <w:r w:rsidDel="00000000" w:rsidR="00000000" w:rsidRPr="00000000">
        <w:rPr>
          <w:i w:val="1"/>
          <w:iCs w:val="1"/>
          <w:sz w:val="24"/>
          <w:szCs w:val="24"/>
          <w:rtl w:val="0"/>
        </w:rPr>
        <w:t xml:space="preserve">multi-slice</w:t>
      </w:r>
      <w:r w:rsidDel="00000000" w:rsidR="00000000" w:rsidRPr="00000000">
        <w:rPr>
          <w:sz w:val="24"/>
          <w:szCs w:val="24"/>
          <w:rtl w:val="0"/>
        </w:rPr>
        <w:t xml:space="preserve">, garantizando que cada observación utilice únicamente información disponible antes del período de predicción.</w:t>
      </w:r>
    </w:p>
    <w:p w:rsidR="00000000" w:rsidDel="00000000" w:rsidP="00000000" w:rsidRDefault="00000000" w:rsidRPr="00000000" w14:paraId="000000E1">
      <w:pPr>
        <w:jc w:val="both"/>
        <w:rPr>
          <w:sz w:val="24"/>
          <w:szCs w:val="24"/>
        </w:rPr>
      </w:pPr>
      <w:r w:rsidDel="00000000" w:rsidR="00000000" w:rsidRPr="00000000">
        <w:rPr>
          <w:sz w:val="24"/>
          <w:szCs w:val="24"/>
          <w:rtl w:val="0"/>
        </w:rPr>
        <w:t xml:space="preserve">Tras la ingeniería, el conjunto contaba con 84 variables. Se aplicó entonces una etapa de </w:t>
      </w:r>
      <w:r w:rsidDel="00000000" w:rsidR="00000000" w:rsidRPr="00000000">
        <w:rPr>
          <w:b w:val="1"/>
          <w:bCs w:val="1"/>
          <w:sz w:val="24"/>
          <w:szCs w:val="24"/>
          <w:rtl w:val="0"/>
        </w:rPr>
        <w:t xml:space="preserve">selección</w:t>
      </w:r>
      <w:r w:rsidDel="00000000" w:rsidR="00000000" w:rsidRPr="00000000">
        <w:rPr>
          <w:sz w:val="24"/>
          <w:szCs w:val="24"/>
          <w:rtl w:val="0"/>
        </w:rPr>
        <w:t xml:space="preserve"> basada en la importancia por permutación medida en el conjunto de entrenamiento, conservando las variables con importancia positiva. Este procedimiento retuvo </w:t>
      </w:r>
      <w:r w:rsidDel="00000000" w:rsidR="00000000" w:rsidRPr="00000000">
        <w:rPr>
          <w:b w:val="1"/>
          <w:bCs w:val="1"/>
          <w:sz w:val="24"/>
          <w:szCs w:val="24"/>
          <w:rtl w:val="0"/>
        </w:rPr>
        <w:t xml:space="preserve">68 de las 84 variables</w:t>
      </w:r>
      <w:r w:rsidDel="00000000" w:rsidR="00000000" w:rsidRPr="00000000">
        <w:rPr>
          <w:sz w:val="24"/>
          <w:szCs w:val="24"/>
          <w:rtl w:val="0"/>
        </w:rPr>
        <w:t xml:space="preserve"> (descartando 16 de aporte nulo) sin pérdida de desempeño: el AUC sobre el test </w:t>
      </w:r>
      <w:r w:rsidDel="00000000" w:rsidR="00000000" w:rsidRPr="00000000">
        <w:rPr>
          <w:i w:val="1"/>
          <w:iCs w:val="1"/>
          <w:sz w:val="24"/>
          <w:szCs w:val="24"/>
          <w:rtl w:val="0"/>
        </w:rPr>
        <w:t xml:space="preserve">out-of-period</w:t>
      </w:r>
      <w:r w:rsidDel="00000000" w:rsidR="00000000" w:rsidRPr="00000000">
        <w:rPr>
          <w:sz w:val="24"/>
          <w:szCs w:val="24"/>
          <w:rtl w:val="0"/>
        </w:rPr>
        <w:t xml:space="preserve"> se mantuvo prácticamente idéntico (de 0.7625 a 0.7628), logrando un modelo más parsimonioso e interpretable. El hallazgo más relevante de esta etapa es que las variables acumuladas cargan señal sustancial: en la importancia por permutación de la etapa de selección (Random Forest), `ticket_acum` (ticket promedio histórico) resultó la variable más importante, con `monto_mensual_acum` y `monto_por_prod_acum` también en el primer cuartil, confirmando empíricamente la recomendación de Mirkovic et al. (2022) sobre el valor de las variables acumuladas y de cambio. El conjunto final de 68 variables se consolidó en el dataset de modelado (`churn_dataset_features.csv`).</w:t>
      </w:r>
    </w:p>
    <w:p w:rsidR="00000000" w:rsidDel="00000000" w:rsidP="00000000" w:rsidRDefault="00000000" w:rsidRPr="00000000" w14:paraId="000000E2">
      <w:pPr>
        <w:spacing w:before="120" w:lineRule="auto"/>
        <w:jc w:val="both"/>
        <w:rPr>
          <w:b w:val="1"/>
          <w:bCs w:val="1"/>
          <w:sz w:val="24"/>
          <w:szCs w:val="24"/>
        </w:rPr>
      </w:pPr>
      <w:r w:rsidDel="00000000" w:rsidR="00000000" w:rsidRPr="00000000">
        <w:rPr>
          <w:b w:val="1"/>
          <w:bCs w:val="1"/>
          <w:sz w:val="24"/>
          <w:szCs w:val="24"/>
          <w:rtl w:val="0"/>
        </w:rPr>
        <w:t xml:space="preserve">Figura 12</w:t>
      </w:r>
    </w:p>
    <w:p w:rsidR="00000000" w:rsidDel="00000000" w:rsidP="00000000" w:rsidRDefault="00000000" w:rsidRPr="00000000" w14:paraId="000000E3">
      <w:pPr>
        <w:jc w:val="both"/>
        <w:rPr>
          <w:i w:val="1"/>
          <w:iCs w:val="1"/>
          <w:sz w:val="24"/>
          <w:szCs w:val="24"/>
        </w:rPr>
      </w:pPr>
      <w:r w:rsidDel="00000000" w:rsidR="00000000" w:rsidRPr="00000000">
        <w:rPr>
          <w:i w:val="1"/>
          <w:iCs w:val="1"/>
          <w:sz w:val="24"/>
          <w:szCs w:val="24"/>
          <w:rtl w:val="0"/>
        </w:rPr>
        <w:t xml:space="preserve">Importancia por permutación de las variables seleccionadas (medida en entrenamiento)</w:t>
      </w:r>
    </w:p>
    <w:p w:rsidR="00000000" w:rsidDel="00000000" w:rsidP="00000000" w:rsidRDefault="00000000" w:rsidRPr="00000000" w14:paraId="000000E4">
      <w:pPr>
        <w:jc w:val="both"/>
        <w:rPr>
          <w:i w:val="1"/>
          <w:iCs w:val="1"/>
          <w:sz w:val="24"/>
          <w:szCs w:val="24"/>
        </w:rPr>
      </w:pPr>
      <w:r w:rsidDel="00000000" w:rsidR="00000000" w:rsidRPr="00000000">
        <w:rPr>
          <w:i w:val="1"/>
          <w:iCs w:val="1"/>
          <w:sz w:val="24"/>
          <w:szCs w:val="24"/>
        </w:rPr>
        <w:drawing>
          <wp:inline distB="114300" distT="114300" distL="114300" distR="114300">
            <wp:extent cx="5005388" cy="4112143"/>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005388" cy="4112143"/>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before="120" w:lineRule="auto"/>
        <w:jc w:val="both"/>
        <w:rPr>
          <w:b w:val="1"/>
          <w:bCs w:val="1"/>
          <w:sz w:val="24"/>
          <w:szCs w:val="24"/>
        </w:rPr>
      </w:pPr>
      <w:r w:rsidDel="00000000" w:rsidR="00000000" w:rsidRPr="00000000">
        <w:rPr>
          <w:b w:val="1"/>
          <w:bCs w:val="1"/>
          <w:sz w:val="24"/>
          <w:szCs w:val="24"/>
          <w:rtl w:val="0"/>
        </w:rPr>
        <w:t xml:space="preserve">5.5 Entrenamiento y validación cruzada</w:t>
      </w:r>
    </w:p>
    <w:p w:rsidR="00000000" w:rsidDel="00000000" w:rsidP="00000000" w:rsidRDefault="00000000" w:rsidRPr="00000000" w14:paraId="000000E6">
      <w:pPr>
        <w:jc w:val="both"/>
        <w:rPr>
          <w:sz w:val="24"/>
          <w:szCs w:val="24"/>
        </w:rPr>
      </w:pPr>
      <w:r w:rsidDel="00000000" w:rsidR="00000000" w:rsidRPr="00000000">
        <w:rPr>
          <w:sz w:val="24"/>
          <w:szCs w:val="24"/>
          <w:rtl w:val="0"/>
        </w:rPr>
        <w:t xml:space="preserve">El entrenamiento se diseñó en torno a un esquema de validación robusto frente a la estructura de panel del dataset, en el que una misma vendedora aparece en múltiples cortes temporales. Para ello se definieron dos protocolos complementarios. El primero, una </w:t>
      </w:r>
      <w:r w:rsidDel="00000000" w:rsidR="00000000" w:rsidRPr="00000000">
        <w:rPr>
          <w:b w:val="1"/>
          <w:bCs w:val="1"/>
          <w:sz w:val="24"/>
          <w:szCs w:val="24"/>
          <w:rtl w:val="0"/>
        </w:rPr>
        <w:t xml:space="preserve">validación cruzada GroupKFold</w:t>
      </w:r>
      <w:r w:rsidDel="00000000" w:rsidR="00000000" w:rsidRPr="00000000">
        <w:rPr>
          <w:sz w:val="24"/>
          <w:szCs w:val="24"/>
          <w:rtl w:val="0"/>
        </w:rPr>
        <w:t xml:space="preserve"> de cinco particiones, utilizando `id_vendedor` como grupo, de modo que todas las observaciones de una misma vendedora caen siempre en la misma partición y se evita que patrones individuales aparezcan simultáneamente en entrenamiento y validación (fuga de identidad). El segundo protocolo es el test temporal </w:t>
      </w:r>
      <w:r w:rsidDel="00000000" w:rsidR="00000000" w:rsidRPr="00000000">
        <w:rPr>
          <w:i w:val="1"/>
          <w:iCs w:val="1"/>
          <w:sz w:val="24"/>
          <w:szCs w:val="24"/>
          <w:rtl w:val="0"/>
        </w:rPr>
        <w:t xml:space="preserve">out-of-time, </w:t>
      </w:r>
      <w:r w:rsidDel="00000000" w:rsidR="00000000" w:rsidRPr="00000000">
        <w:rPr>
          <w:sz w:val="24"/>
          <w:szCs w:val="24"/>
          <w:rtl w:val="0"/>
        </w:rPr>
        <w:t xml:space="preserve">el simula el rendimiento del modelo en un escenario de producción real. Este test</w:t>
      </w:r>
      <w:r w:rsidDel="00000000" w:rsidR="00000000" w:rsidRPr="00000000">
        <w:rPr>
          <w:i w:val="1"/>
          <w:iCs w:val="1"/>
          <w:sz w:val="24"/>
          <w:szCs w:val="24"/>
          <w:rtl w:val="0"/>
        </w:rPr>
        <w:t xml:space="preserve"> </w:t>
      </w:r>
      <w:r w:rsidDel="00000000" w:rsidR="00000000" w:rsidRPr="00000000">
        <w:rPr>
          <w:sz w:val="24"/>
          <w:szCs w:val="24"/>
          <w:rtl w:val="0"/>
        </w:rPr>
        <w:t xml:space="preserve">toma en cuenta los últimos 4 meses de observaciones, con un gap de seis meses entre entrenamiento y test para evitar el solapamiento de las ventanas de etiqueta de churn. </w:t>
      </w:r>
    </w:p>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En la fase de comparación se entrenaron tres clasificadores: Regresión Logística (baseline lineal), Random Forest y XGBoost, todos con aprendizaje sensible al costo (pesos de clase balanceados) y sin remuestreo; la Regresión Logística, sensible a la escala, se estandarizó dentro de un </w:t>
      </w:r>
      <w:r w:rsidDel="00000000" w:rsidR="00000000" w:rsidRPr="00000000">
        <w:rPr>
          <w:i w:val="1"/>
          <w:iCs w:val="1"/>
          <w:sz w:val="24"/>
          <w:szCs w:val="24"/>
          <w:rtl w:val="0"/>
        </w:rPr>
        <w:t xml:space="preserve">pipeline</w:t>
      </w:r>
      <w:r w:rsidDel="00000000" w:rsidR="00000000" w:rsidRPr="00000000">
        <w:rPr>
          <w:sz w:val="24"/>
          <w:szCs w:val="24"/>
          <w:rtl w:val="0"/>
        </w:rPr>
        <w:t xml:space="preserve"> ajustado solo en el train. Los tres se evaluaron bajo ambos protocolos. Los resultados mostraron un desempeño </w:t>
      </w:r>
      <w:r w:rsidDel="00000000" w:rsidR="00000000" w:rsidRPr="00000000">
        <w:rPr>
          <w:b w:val="1"/>
          <w:bCs w:val="1"/>
          <w:sz w:val="24"/>
          <w:szCs w:val="24"/>
          <w:rtl w:val="0"/>
        </w:rPr>
        <w:t xml:space="preserve">estadísticamente equivalente</w:t>
      </w:r>
      <w:r w:rsidDel="00000000" w:rsidR="00000000" w:rsidRPr="00000000">
        <w:rPr>
          <w:sz w:val="24"/>
          <w:szCs w:val="24"/>
          <w:rtl w:val="0"/>
        </w:rPr>
        <w:t xml:space="preserve"> (las diferencias caen dentro de la variabilidad mensual del AUC), consistente con un techo de señal en torno a 0.76–0.77. Notablemente, la Regresión Logística obtuvo el AUC out-of-period más alto (0.7676) y la mayor estabilidad temporal, lo que confirma que la señal del problema es mayormente lineal y que los modelos de árboles no aportan una ganancia sustancial frente al baseline lineal.</w:t>
      </w:r>
    </w:p>
    <w:p w:rsidR="00000000" w:rsidDel="00000000" w:rsidP="00000000" w:rsidRDefault="00000000" w:rsidRPr="00000000" w14:paraId="000000E8">
      <w:pPr>
        <w:spacing w:before="120" w:lineRule="auto"/>
        <w:jc w:val="both"/>
        <w:rPr>
          <w:b w:val="1"/>
          <w:bCs w:val="1"/>
          <w:sz w:val="24"/>
          <w:szCs w:val="24"/>
        </w:rPr>
      </w:pPr>
      <w:r w:rsidDel="00000000" w:rsidR="00000000" w:rsidRPr="00000000">
        <w:rPr>
          <w:b w:val="1"/>
          <w:bCs w:val="1"/>
          <w:sz w:val="24"/>
          <w:szCs w:val="24"/>
          <w:rtl w:val="0"/>
        </w:rPr>
        <w:t xml:space="preserve">Tabla 1</w:t>
      </w:r>
    </w:p>
    <w:p w:rsidR="00000000" w:rsidDel="00000000" w:rsidP="00000000" w:rsidRDefault="00000000" w:rsidRPr="00000000" w14:paraId="000000E9">
      <w:pPr>
        <w:jc w:val="both"/>
        <w:rPr>
          <w:i w:val="1"/>
          <w:iCs w:val="1"/>
          <w:sz w:val="24"/>
          <w:szCs w:val="24"/>
        </w:rPr>
      </w:pPr>
      <w:r w:rsidDel="00000000" w:rsidR="00000000" w:rsidRPr="00000000">
        <w:rPr>
          <w:i w:val="1"/>
          <w:iCs w:val="1"/>
          <w:sz w:val="24"/>
          <w:szCs w:val="24"/>
          <w:rtl w:val="0"/>
        </w:rPr>
        <w:t xml:space="preserve">Comparación de algoritmos bajo los dos protocolos de validación</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05"/>
        <w:gridCol w:w="1755"/>
        <w:gridCol w:w="1725"/>
        <w:gridCol w:w="1710"/>
        <w:tblGridChange w:id="0">
          <w:tblGrid>
            <w:gridCol w:w="1830"/>
            <w:gridCol w:w="1905"/>
            <w:gridCol w:w="1755"/>
            <w:gridCol w:w="1725"/>
            <w:gridCol w:w="171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b w:val="1"/>
                <w:bCs w:val="1"/>
                <w:sz w:val="21"/>
                <w:szCs w:val="21"/>
              </w:rPr>
            </w:pPr>
            <w:r w:rsidDel="00000000" w:rsidR="00000000" w:rsidRPr="00000000">
              <w:rPr>
                <w:b w:val="1"/>
                <w:bCs w:val="1"/>
                <w:sz w:val="21"/>
                <w:szCs w:val="21"/>
                <w:rtl w:val="0"/>
              </w:rPr>
              <w:t xml:space="preserve">Modelo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b w:val="1"/>
                <w:bCs w:val="1"/>
                <w:sz w:val="21"/>
                <w:szCs w:val="21"/>
              </w:rPr>
            </w:pPr>
            <w:r w:rsidDel="00000000" w:rsidR="00000000" w:rsidRPr="00000000">
              <w:rPr>
                <w:b w:val="1"/>
                <w:bCs w:val="1"/>
                <w:sz w:val="21"/>
                <w:szCs w:val="21"/>
                <w:rtl w:val="0"/>
              </w:rPr>
              <w:t xml:space="preserve">AUC GroupKFold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b w:val="1"/>
                <w:bCs w:val="1"/>
                <w:sz w:val="21"/>
                <w:szCs w:val="21"/>
              </w:rPr>
            </w:pPr>
            <w:r w:rsidDel="00000000" w:rsidR="00000000" w:rsidRPr="00000000">
              <w:rPr>
                <w:b w:val="1"/>
                <w:bCs w:val="1"/>
                <w:sz w:val="21"/>
                <w:szCs w:val="21"/>
                <w:rtl w:val="0"/>
              </w:rPr>
              <w:t xml:space="preserve">AUC </w:t>
            </w:r>
          </w:p>
          <w:p w:rsidR="00000000" w:rsidDel="00000000" w:rsidP="00000000" w:rsidRDefault="00000000" w:rsidRPr="00000000" w14:paraId="000000ED">
            <w:pPr>
              <w:jc w:val="both"/>
              <w:rPr>
                <w:b w:val="1"/>
                <w:bCs w:val="1"/>
                <w:sz w:val="21"/>
                <w:szCs w:val="21"/>
              </w:rPr>
            </w:pPr>
            <w:r w:rsidDel="00000000" w:rsidR="00000000" w:rsidRPr="00000000">
              <w:rPr>
                <w:b w:val="1"/>
                <w:bCs w:val="1"/>
                <w:sz w:val="21"/>
                <w:szCs w:val="21"/>
                <w:rtl w:val="0"/>
              </w:rPr>
              <w:t xml:space="preserve">out-of-time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b w:val="1"/>
                <w:bCs w:val="1"/>
                <w:sz w:val="21"/>
                <w:szCs w:val="21"/>
              </w:rPr>
            </w:pPr>
            <w:r w:rsidDel="00000000" w:rsidR="00000000" w:rsidRPr="00000000">
              <w:rPr>
                <w:b w:val="1"/>
                <w:bCs w:val="1"/>
                <w:sz w:val="21"/>
                <w:szCs w:val="21"/>
                <w:rtl w:val="0"/>
              </w:rPr>
              <w:t xml:space="preserve">Desv. AUC por mes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b w:val="1"/>
                <w:bCs w:val="1"/>
                <w:sz w:val="21"/>
                <w:szCs w:val="21"/>
              </w:rPr>
            </w:pPr>
            <w:r w:rsidDel="00000000" w:rsidR="00000000" w:rsidRPr="00000000">
              <w:rPr>
                <w:b w:val="1"/>
                <w:bCs w:val="1"/>
                <w:sz w:val="21"/>
                <w:szCs w:val="21"/>
                <w:rtl w:val="0"/>
              </w:rPr>
              <w:t xml:space="preserve">Lift decil</w:t>
            </w:r>
          </w:p>
          <w:p w:rsidR="00000000" w:rsidDel="00000000" w:rsidP="00000000" w:rsidRDefault="00000000" w:rsidRPr="00000000" w14:paraId="000000F0">
            <w:pPr>
              <w:jc w:val="both"/>
              <w:rPr>
                <w:b w:val="1"/>
                <w:bCs w:val="1"/>
                <w:sz w:val="21"/>
                <w:szCs w:val="21"/>
              </w:rPr>
            </w:pPr>
            <w:r w:rsidDel="00000000" w:rsidR="00000000" w:rsidRPr="00000000">
              <w:rPr>
                <w:b w:val="1"/>
                <w:bCs w:val="1"/>
                <w:sz w:val="21"/>
                <w:szCs w:val="21"/>
                <w:rtl w:val="0"/>
              </w:rPr>
              <w:t xml:space="preserve">out-of-time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sz w:val="21"/>
                <w:szCs w:val="21"/>
              </w:rPr>
            </w:pPr>
            <w:r w:rsidDel="00000000" w:rsidR="00000000" w:rsidRPr="00000000">
              <w:rPr>
                <w:sz w:val="21"/>
                <w:szCs w:val="21"/>
                <w:rtl w:val="0"/>
              </w:rPr>
              <w:t xml:space="preserve">Regresión Logística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sz w:val="21"/>
                <w:szCs w:val="21"/>
              </w:rPr>
            </w:pPr>
            <w:r w:rsidDel="00000000" w:rsidR="00000000" w:rsidRPr="00000000">
              <w:rPr>
                <w:sz w:val="21"/>
                <w:szCs w:val="21"/>
                <w:rtl w:val="0"/>
              </w:rPr>
              <w:t xml:space="preserve">0.7417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sz w:val="21"/>
                <w:szCs w:val="21"/>
              </w:rPr>
            </w:pPr>
            <w:r w:rsidDel="00000000" w:rsidR="00000000" w:rsidRPr="00000000">
              <w:rPr>
                <w:sz w:val="21"/>
                <w:szCs w:val="21"/>
                <w:rtl w:val="0"/>
              </w:rPr>
              <w:t xml:space="preserve">0.7676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sz w:val="21"/>
                <w:szCs w:val="21"/>
              </w:rPr>
            </w:pPr>
            <w:r w:rsidDel="00000000" w:rsidR="00000000" w:rsidRPr="00000000">
              <w:rPr>
                <w:sz w:val="21"/>
                <w:szCs w:val="21"/>
                <w:rtl w:val="0"/>
              </w:rPr>
              <w:t xml:space="preserve">0.012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sz w:val="21"/>
                <w:szCs w:val="21"/>
              </w:rPr>
            </w:pPr>
            <w:r w:rsidDel="00000000" w:rsidR="00000000" w:rsidRPr="00000000">
              <w:rPr>
                <w:sz w:val="21"/>
                <w:szCs w:val="21"/>
                <w:rtl w:val="0"/>
              </w:rPr>
              <w:t xml:space="preserve">2.25</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sz w:val="21"/>
                <w:szCs w:val="21"/>
              </w:rPr>
            </w:pPr>
            <w:r w:rsidDel="00000000" w:rsidR="00000000" w:rsidRPr="00000000">
              <w:rPr>
                <w:sz w:val="21"/>
                <w:szCs w:val="21"/>
                <w:rtl w:val="0"/>
              </w:rPr>
              <w:t xml:space="preserve">Random Forest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sz w:val="21"/>
                <w:szCs w:val="21"/>
              </w:rPr>
            </w:pPr>
            <w:r w:rsidDel="00000000" w:rsidR="00000000" w:rsidRPr="00000000">
              <w:rPr>
                <w:sz w:val="21"/>
                <w:szCs w:val="21"/>
                <w:rtl w:val="0"/>
              </w:rPr>
              <w:t xml:space="preserve">0.7418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sz w:val="21"/>
                <w:szCs w:val="21"/>
              </w:rPr>
            </w:pPr>
            <w:r w:rsidDel="00000000" w:rsidR="00000000" w:rsidRPr="00000000">
              <w:rPr>
                <w:sz w:val="21"/>
                <w:szCs w:val="21"/>
                <w:rtl w:val="0"/>
              </w:rPr>
              <w:t xml:space="preserve">0.7627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sz w:val="21"/>
                <w:szCs w:val="21"/>
              </w:rPr>
            </w:pPr>
            <w:r w:rsidDel="00000000" w:rsidR="00000000" w:rsidRPr="00000000">
              <w:rPr>
                <w:sz w:val="21"/>
                <w:szCs w:val="21"/>
                <w:rtl w:val="0"/>
              </w:rPr>
              <w:t xml:space="preserve">0.023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sz w:val="21"/>
                <w:szCs w:val="21"/>
              </w:rPr>
            </w:pPr>
            <w:r w:rsidDel="00000000" w:rsidR="00000000" w:rsidRPr="00000000">
              <w:rPr>
                <w:sz w:val="21"/>
                <w:szCs w:val="21"/>
                <w:rtl w:val="0"/>
              </w:rPr>
              <w:t xml:space="preserve">2.44</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sz w:val="21"/>
                <w:szCs w:val="21"/>
              </w:rPr>
            </w:pPr>
            <w:r w:rsidDel="00000000" w:rsidR="00000000" w:rsidRPr="00000000">
              <w:rPr>
                <w:sz w:val="21"/>
                <w:szCs w:val="21"/>
                <w:rtl w:val="0"/>
              </w:rPr>
              <w:t xml:space="preserve">XGBoost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sz w:val="21"/>
                <w:szCs w:val="21"/>
              </w:rPr>
            </w:pPr>
            <w:r w:rsidDel="00000000" w:rsidR="00000000" w:rsidRPr="00000000">
              <w:rPr>
                <w:sz w:val="21"/>
                <w:szCs w:val="21"/>
                <w:rtl w:val="0"/>
              </w:rPr>
              <w:t xml:space="preserve">0.7418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sz w:val="21"/>
                <w:szCs w:val="21"/>
              </w:rPr>
            </w:pPr>
            <w:r w:rsidDel="00000000" w:rsidR="00000000" w:rsidRPr="00000000">
              <w:rPr>
                <w:sz w:val="21"/>
                <w:szCs w:val="21"/>
                <w:rtl w:val="0"/>
              </w:rPr>
              <w:t xml:space="preserve">0.7540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sz w:val="21"/>
                <w:szCs w:val="21"/>
              </w:rPr>
            </w:pPr>
            <w:r w:rsidDel="00000000" w:rsidR="00000000" w:rsidRPr="00000000">
              <w:rPr>
                <w:sz w:val="21"/>
                <w:szCs w:val="21"/>
                <w:rtl w:val="0"/>
              </w:rPr>
              <w:t xml:space="preserve">0.016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sz w:val="21"/>
                <w:szCs w:val="21"/>
              </w:rPr>
            </w:pPr>
            <w:r w:rsidDel="00000000" w:rsidR="00000000" w:rsidRPr="00000000">
              <w:rPr>
                <w:sz w:val="21"/>
                <w:szCs w:val="21"/>
                <w:rtl w:val="0"/>
              </w:rPr>
              <w:t xml:space="preserve">2.29</w:t>
            </w:r>
          </w:p>
        </w:tc>
      </w:tr>
    </w:tbl>
    <w:p w:rsidR="00000000" w:rsidDel="00000000" w:rsidP="00000000" w:rsidRDefault="00000000" w:rsidRPr="00000000" w14:paraId="00000100">
      <w:pPr>
        <w:jc w:val="both"/>
        <w:rPr>
          <w:sz w:val="24"/>
          <w:szCs w:val="24"/>
        </w:rPr>
      </w:pPr>
      <w:r w:rsidDel="00000000" w:rsidR="00000000" w:rsidRPr="00000000">
        <w:rPr>
          <w:sz w:val="24"/>
          <w:szCs w:val="24"/>
          <w:rtl w:val="0"/>
        </w:rPr>
        <w:t xml:space="preserve">Para evitar una comparación sesgada (afinar un modelo y dejar otro con sus valores por defecto), </w:t>
      </w:r>
      <w:r w:rsidDel="00000000" w:rsidR="00000000" w:rsidRPr="00000000">
        <w:rPr>
          <w:b w:val="1"/>
          <w:bCs w:val="1"/>
          <w:sz w:val="24"/>
          <w:szCs w:val="24"/>
          <w:rtl w:val="0"/>
        </w:rPr>
        <w:t xml:space="preserve">se optimizaron con Optuna los dos modelos de árboles: Random Forest y XGBoost, bajo idéntico presupuesto</w:t>
      </w:r>
      <w:r w:rsidDel="00000000" w:rsidR="00000000" w:rsidRPr="00000000">
        <w:rPr>
          <w:sz w:val="24"/>
          <w:szCs w:val="24"/>
          <w:rtl w:val="0"/>
        </w:rPr>
        <w:t xml:space="preserve"> (60 evaluaciones) y el mismo esquema de validación, empleando un muestreador bayesiano (</w:t>
      </w:r>
      <w:r w:rsidDel="00000000" w:rsidR="00000000" w:rsidRPr="00000000">
        <w:rPr>
          <w:i w:val="1"/>
          <w:iCs w:val="1"/>
          <w:sz w:val="24"/>
          <w:szCs w:val="24"/>
          <w:rtl w:val="0"/>
        </w:rPr>
        <w:t xml:space="preserve">Tree-structured Parzen Estimator</w:t>
      </w:r>
      <w:r w:rsidDel="00000000" w:rsidR="00000000" w:rsidRPr="00000000">
        <w:rPr>
          <w:sz w:val="24"/>
          <w:szCs w:val="24"/>
          <w:rtl w:val="0"/>
        </w:rPr>
        <w:t xml:space="preserve">) y poda temprana de configuraciones poco prometedoras (</w:t>
      </w:r>
      <w:r w:rsidDel="00000000" w:rsidR="00000000" w:rsidRPr="00000000">
        <w:rPr>
          <w:i w:val="1"/>
          <w:iCs w:val="1"/>
          <w:sz w:val="24"/>
          <w:szCs w:val="24"/>
          <w:rtl w:val="0"/>
        </w:rPr>
        <w:t xml:space="preserve">MedianPruner</w:t>
      </w:r>
      <w:r w:rsidDel="00000000" w:rsidR="00000000" w:rsidRPr="00000000">
        <w:rPr>
          <w:sz w:val="24"/>
          <w:szCs w:val="24"/>
          <w:rtl w:val="0"/>
        </w:rPr>
        <w:t xml:space="preserve">). El espacio de búsqueda de XGBoost abarcó nueve hiperparámetros (número de árboles, profundidad, tasa de aprendizaje, submuestreo de filas y columnas, peso mínimo por hoja, ganancia mínima de partición y regularización L1 y L2).</w:t>
      </w:r>
    </w:p>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El resultado fue contrastante. </w:t>
      </w:r>
      <w:r w:rsidDel="00000000" w:rsidR="00000000" w:rsidRPr="00000000">
        <w:rPr>
          <w:b w:val="1"/>
          <w:bCs w:val="1"/>
          <w:sz w:val="24"/>
          <w:szCs w:val="24"/>
          <w:rtl w:val="0"/>
        </w:rPr>
        <w:t xml:space="preserve">XGBoost se benefició claramente del ajuste</w:t>
      </w:r>
      <w:r w:rsidDel="00000000" w:rsidR="00000000" w:rsidRPr="00000000">
        <w:rPr>
          <w:sz w:val="24"/>
          <w:szCs w:val="24"/>
          <w:rtl w:val="0"/>
        </w:rPr>
        <w:t xml:space="preserve">: su AUC </w:t>
      </w:r>
      <w:r w:rsidDel="00000000" w:rsidR="00000000" w:rsidRPr="00000000">
        <w:rPr>
          <w:i w:val="1"/>
          <w:iCs w:val="1"/>
          <w:sz w:val="24"/>
          <w:szCs w:val="24"/>
          <w:rtl w:val="0"/>
        </w:rPr>
        <w:t xml:space="preserve">out-of-period</w:t>
      </w:r>
      <w:r w:rsidDel="00000000" w:rsidR="00000000" w:rsidRPr="00000000">
        <w:rPr>
          <w:sz w:val="24"/>
          <w:szCs w:val="24"/>
          <w:rtl w:val="0"/>
        </w:rPr>
        <w:t xml:space="preserve"> subió de 0.7540 a 0.7648 (+1.08 pp). </w:t>
      </w:r>
      <w:r w:rsidDel="00000000" w:rsidR="00000000" w:rsidRPr="00000000">
        <w:rPr>
          <w:b w:val="1"/>
          <w:bCs w:val="1"/>
          <w:sz w:val="24"/>
          <w:szCs w:val="24"/>
          <w:rtl w:val="0"/>
        </w:rPr>
        <w:t xml:space="preserve">Random Forest, en cambio, no mejoró</w:t>
      </w:r>
      <w:r w:rsidDel="00000000" w:rsidR="00000000" w:rsidRPr="00000000">
        <w:rPr>
          <w:sz w:val="24"/>
          <w:szCs w:val="24"/>
          <w:rtl w:val="0"/>
        </w:rPr>
        <w:t xml:space="preserve">: aunque la optimización elevó su AUC de validación interna —su objetivo— de 0.7389 a 0.7399, esa ganancia mínima no se trasladó al bloque </w:t>
      </w:r>
      <w:r w:rsidDel="00000000" w:rsidR="00000000" w:rsidRPr="00000000">
        <w:rPr>
          <w:i w:val="1"/>
          <w:iCs w:val="1"/>
          <w:sz w:val="24"/>
          <w:szCs w:val="24"/>
          <w:rtl w:val="0"/>
        </w:rPr>
        <w:t xml:space="preserve">out-of-period</w:t>
      </w:r>
      <w:r w:rsidDel="00000000" w:rsidR="00000000" w:rsidRPr="00000000">
        <w:rPr>
          <w:sz w:val="24"/>
          <w:szCs w:val="24"/>
          <w:rtl w:val="0"/>
        </w:rPr>
        <w:t xml:space="preserve">, donde incluso descendió levemente (de 0.7627 a 0.7590). Esto ilustra un punto metodológico relevante —maximizar la validación interna no garantiza mejorar el desempeño futuro (</w:t>
      </w:r>
      <w:r w:rsidDel="00000000" w:rsidR="00000000" w:rsidRPr="00000000">
        <w:rPr>
          <w:i w:val="1"/>
          <w:iCs w:val="1"/>
          <w:sz w:val="24"/>
          <w:szCs w:val="24"/>
          <w:rtl w:val="0"/>
        </w:rPr>
        <w:t xml:space="preserve">out-of-period</w:t>
      </w:r>
      <w:r w:rsidDel="00000000" w:rsidR="00000000" w:rsidRPr="00000000">
        <w:rPr>
          <w:sz w:val="24"/>
          <w:szCs w:val="24"/>
          <w:rtl w:val="0"/>
        </w:rPr>
        <w:t xml:space="preserve">)— y refleja que Random Forest ya operaba cerca de su techo con parámetros por defecto razonables. En la comparación final entre modelos tuneados, </w:t>
      </w:r>
      <w:r w:rsidDel="00000000" w:rsidR="00000000" w:rsidRPr="00000000">
        <w:rPr>
          <w:b w:val="1"/>
          <w:bCs w:val="1"/>
          <w:sz w:val="24"/>
          <w:szCs w:val="24"/>
          <w:rtl w:val="0"/>
        </w:rPr>
        <w:t xml:space="preserve">XGBoost superó a Random Forest en todas las métricas relevantes</w:t>
      </w:r>
      <w:r w:rsidDel="00000000" w:rsidR="00000000" w:rsidRPr="00000000">
        <w:rPr>
          <w:sz w:val="24"/>
          <w:szCs w:val="24"/>
          <w:rtl w:val="0"/>
        </w:rPr>
        <w:t xml:space="preserve">, por lo que se adoptó como </w:t>
      </w:r>
      <w:r w:rsidDel="00000000" w:rsidR="00000000" w:rsidRPr="00000000">
        <w:rPr>
          <w:b w:val="1"/>
          <w:bCs w:val="1"/>
          <w:sz w:val="24"/>
          <w:szCs w:val="24"/>
          <w:rtl w:val="0"/>
        </w:rPr>
        <w:t xml:space="preserve">modelo final</w:t>
      </w:r>
      <w:r w:rsidDel="00000000" w:rsidR="00000000" w:rsidRPr="00000000">
        <w:rPr>
          <w:sz w:val="24"/>
          <w:szCs w:val="24"/>
          <w:rtl w:val="0"/>
        </w:rPr>
        <w:t xml:space="preserve">; la Regresión Logística se mantiene como baseline lineal de referencia.</w:t>
      </w:r>
    </w:p>
    <w:p w:rsidR="00000000" w:rsidDel="00000000" w:rsidP="00000000" w:rsidRDefault="00000000" w:rsidRPr="00000000" w14:paraId="00000102">
      <w:pPr>
        <w:spacing w:before="120" w:lineRule="auto"/>
        <w:jc w:val="both"/>
        <w:rPr>
          <w:b w:val="1"/>
          <w:bCs w:val="1"/>
          <w:sz w:val="24"/>
          <w:szCs w:val="24"/>
        </w:rPr>
      </w:pPr>
      <w:r w:rsidDel="00000000" w:rsidR="00000000" w:rsidRPr="00000000">
        <w:rPr>
          <w:b w:val="1"/>
          <w:bCs w:val="1"/>
          <w:sz w:val="24"/>
          <w:szCs w:val="24"/>
          <w:rtl w:val="0"/>
        </w:rPr>
        <w:t xml:space="preserve">Tabla 2</w:t>
      </w:r>
    </w:p>
    <w:p w:rsidR="00000000" w:rsidDel="00000000" w:rsidP="00000000" w:rsidRDefault="00000000" w:rsidRPr="00000000" w14:paraId="00000103">
      <w:pPr>
        <w:jc w:val="both"/>
        <w:rPr>
          <w:i w:val="1"/>
          <w:iCs w:val="1"/>
          <w:sz w:val="24"/>
          <w:szCs w:val="24"/>
        </w:rPr>
      </w:pPr>
      <w:r w:rsidDel="00000000" w:rsidR="00000000" w:rsidRPr="00000000">
        <w:rPr>
          <w:i w:val="1"/>
          <w:iCs w:val="1"/>
          <w:sz w:val="24"/>
          <w:szCs w:val="24"/>
          <w:rtl w:val="0"/>
        </w:rPr>
        <w:t xml:space="preserve">Comparación final de los modelos de árboles tras la optimización (validación cruzada anidada)</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85"/>
        <w:gridCol w:w="1470"/>
        <w:gridCol w:w="1455"/>
        <w:gridCol w:w="1410"/>
        <w:gridCol w:w="1560"/>
        <w:tblGridChange w:id="0">
          <w:tblGrid>
            <w:gridCol w:w="1530"/>
            <w:gridCol w:w="1485"/>
            <w:gridCol w:w="1470"/>
            <w:gridCol w:w="1455"/>
            <w:gridCol w:w="1410"/>
            <w:gridCol w:w="156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b w:val="1"/>
                <w:bCs w:val="1"/>
                <w:sz w:val="21"/>
                <w:szCs w:val="21"/>
              </w:rPr>
            </w:pPr>
            <w:r w:rsidDel="00000000" w:rsidR="00000000" w:rsidRPr="00000000">
              <w:rPr>
                <w:b w:val="1"/>
                <w:bCs w:val="1"/>
                <w:sz w:val="21"/>
                <w:szCs w:val="21"/>
                <w:rtl w:val="0"/>
              </w:rPr>
              <w:t xml:space="preserve">Modelo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b w:val="1"/>
                <w:bCs w:val="1"/>
                <w:sz w:val="21"/>
                <w:szCs w:val="21"/>
              </w:rPr>
            </w:pPr>
            <w:r w:rsidDel="00000000" w:rsidR="00000000" w:rsidRPr="00000000">
              <w:rPr>
                <w:b w:val="1"/>
                <w:bCs w:val="1"/>
                <w:sz w:val="21"/>
                <w:szCs w:val="21"/>
                <w:rtl w:val="0"/>
              </w:rPr>
              <w:t xml:space="preserve">AUC interna (CV)</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b w:val="1"/>
                <w:bCs w:val="1"/>
                <w:sz w:val="21"/>
                <w:szCs w:val="21"/>
              </w:rPr>
            </w:pPr>
            <w:r w:rsidDel="00000000" w:rsidR="00000000" w:rsidRPr="00000000">
              <w:rPr>
                <w:b w:val="1"/>
                <w:bCs w:val="1"/>
                <w:sz w:val="21"/>
                <w:szCs w:val="21"/>
                <w:rtl w:val="0"/>
              </w:rPr>
              <w:t xml:space="preserve">AUC out-of-period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b w:val="1"/>
                <w:bCs w:val="1"/>
                <w:sz w:val="21"/>
                <w:szCs w:val="21"/>
              </w:rPr>
            </w:pPr>
            <w:r w:rsidDel="00000000" w:rsidR="00000000" w:rsidRPr="00000000">
              <w:rPr>
                <w:b w:val="1"/>
                <w:bCs w:val="1"/>
                <w:sz w:val="21"/>
                <w:szCs w:val="21"/>
                <w:rtl w:val="0"/>
              </w:rPr>
              <w:t xml:space="preserve">Recall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b w:val="1"/>
                <w:bCs w:val="1"/>
                <w:sz w:val="21"/>
                <w:szCs w:val="21"/>
              </w:rPr>
            </w:pPr>
            <w:r w:rsidDel="00000000" w:rsidR="00000000" w:rsidRPr="00000000">
              <w:rPr>
                <w:b w:val="1"/>
                <w:bCs w:val="1"/>
                <w:sz w:val="21"/>
                <w:szCs w:val="21"/>
                <w:rtl w:val="0"/>
              </w:rPr>
              <w:t xml:space="preserve">Lift decil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b w:val="1"/>
                <w:bCs w:val="1"/>
                <w:sz w:val="21"/>
                <w:szCs w:val="21"/>
              </w:rPr>
            </w:pPr>
            <w:r w:rsidDel="00000000" w:rsidR="00000000" w:rsidRPr="00000000">
              <w:rPr>
                <w:b w:val="1"/>
                <w:bCs w:val="1"/>
                <w:sz w:val="21"/>
                <w:szCs w:val="21"/>
                <w:rtl w:val="0"/>
              </w:rPr>
              <w:t xml:space="preserve">Desv. AUC/mes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sz w:val="21"/>
                <w:szCs w:val="21"/>
              </w:rPr>
            </w:pPr>
            <w:r w:rsidDel="00000000" w:rsidR="00000000" w:rsidRPr="00000000">
              <w:rPr>
                <w:sz w:val="21"/>
                <w:szCs w:val="21"/>
                <w:rtl w:val="0"/>
              </w:rPr>
              <w:t xml:space="preserve">XGBoost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sz w:val="21"/>
                <w:szCs w:val="21"/>
              </w:rPr>
            </w:pPr>
            <w:r w:rsidDel="00000000" w:rsidR="00000000" w:rsidRPr="00000000">
              <w:rPr>
                <w:sz w:val="21"/>
                <w:szCs w:val="21"/>
                <w:rtl w:val="0"/>
              </w:rPr>
              <w:t xml:space="preserve">0.7422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sz w:val="21"/>
                <w:szCs w:val="21"/>
              </w:rPr>
            </w:pPr>
            <w:r w:rsidDel="00000000" w:rsidR="00000000" w:rsidRPr="00000000">
              <w:rPr>
                <w:sz w:val="21"/>
                <w:szCs w:val="21"/>
                <w:rtl w:val="0"/>
              </w:rPr>
              <w:t xml:space="preserve">0.7648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sz w:val="21"/>
                <w:szCs w:val="21"/>
              </w:rPr>
            </w:pPr>
            <w:r w:rsidDel="00000000" w:rsidR="00000000" w:rsidRPr="00000000">
              <w:rPr>
                <w:sz w:val="21"/>
                <w:szCs w:val="21"/>
                <w:rtl w:val="0"/>
              </w:rPr>
              <w:t xml:space="preserve">0.776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sz w:val="21"/>
                <w:szCs w:val="21"/>
              </w:rPr>
            </w:pPr>
            <w:r w:rsidDel="00000000" w:rsidR="00000000" w:rsidRPr="00000000">
              <w:rPr>
                <w:sz w:val="21"/>
                <w:szCs w:val="21"/>
                <w:rtl w:val="0"/>
              </w:rPr>
              <w:t xml:space="preserve">2.44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sz w:val="21"/>
                <w:szCs w:val="21"/>
              </w:rPr>
            </w:pPr>
            <w:r w:rsidDel="00000000" w:rsidR="00000000" w:rsidRPr="00000000">
              <w:rPr>
                <w:sz w:val="21"/>
                <w:szCs w:val="21"/>
                <w:rtl w:val="0"/>
              </w:rPr>
              <w:t xml:space="preserve">0.018</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sz w:val="21"/>
                <w:szCs w:val="21"/>
              </w:rPr>
            </w:pPr>
            <w:r w:rsidDel="00000000" w:rsidR="00000000" w:rsidRPr="00000000">
              <w:rPr>
                <w:sz w:val="21"/>
                <w:szCs w:val="21"/>
                <w:rtl w:val="0"/>
              </w:rPr>
              <w:t xml:space="preserve">Random Forest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sz w:val="21"/>
                <w:szCs w:val="21"/>
              </w:rPr>
            </w:pPr>
            <w:r w:rsidDel="00000000" w:rsidR="00000000" w:rsidRPr="00000000">
              <w:rPr>
                <w:sz w:val="21"/>
                <w:szCs w:val="21"/>
                <w:rtl w:val="0"/>
              </w:rPr>
              <w:t xml:space="preserve">0.7399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sz w:val="21"/>
                <w:szCs w:val="21"/>
              </w:rPr>
            </w:pPr>
            <w:r w:rsidDel="00000000" w:rsidR="00000000" w:rsidRPr="00000000">
              <w:rPr>
                <w:sz w:val="21"/>
                <w:szCs w:val="21"/>
                <w:rtl w:val="0"/>
              </w:rPr>
              <w:t xml:space="preserve">0.7590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sz w:val="21"/>
                <w:szCs w:val="21"/>
              </w:rPr>
            </w:pPr>
            <w:r w:rsidDel="00000000" w:rsidR="00000000" w:rsidRPr="00000000">
              <w:rPr>
                <w:sz w:val="21"/>
                <w:szCs w:val="21"/>
                <w:rtl w:val="0"/>
              </w:rPr>
              <w:t xml:space="preserve">0.729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sz w:val="21"/>
                <w:szCs w:val="21"/>
              </w:rPr>
            </w:pPr>
            <w:r w:rsidDel="00000000" w:rsidR="00000000" w:rsidRPr="00000000">
              <w:rPr>
                <w:sz w:val="21"/>
                <w:szCs w:val="21"/>
                <w:rtl w:val="0"/>
              </w:rPr>
              <w:t xml:space="preserve">2.34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sz w:val="21"/>
                <w:szCs w:val="21"/>
              </w:rPr>
            </w:pPr>
            <w:r w:rsidDel="00000000" w:rsidR="00000000" w:rsidRPr="00000000">
              <w:rPr>
                <w:sz w:val="21"/>
                <w:szCs w:val="21"/>
                <w:rtl w:val="0"/>
              </w:rPr>
              <w:t xml:space="preserve">0.021</w:t>
            </w:r>
          </w:p>
        </w:tc>
      </w:tr>
    </w:tbl>
    <w:p w:rsidR="00000000" w:rsidDel="00000000" w:rsidP="00000000" w:rsidRDefault="00000000" w:rsidRPr="00000000" w14:paraId="00000116">
      <w:pPr>
        <w:jc w:val="both"/>
        <w:rPr>
          <w:sz w:val="24"/>
          <w:szCs w:val="24"/>
        </w:rPr>
      </w:pPr>
      <w:r w:rsidDel="00000000" w:rsidR="00000000" w:rsidRPr="00000000">
        <w:rPr>
          <w:sz w:val="24"/>
          <w:szCs w:val="24"/>
          <w:rtl w:val="0"/>
        </w:rPr>
        <w:t xml:space="preserve">El </w:t>
      </w:r>
      <w:r w:rsidDel="00000000" w:rsidR="00000000" w:rsidRPr="00000000">
        <w:rPr>
          <w:i w:val="1"/>
          <w:iCs w:val="1"/>
          <w:sz w:val="24"/>
          <w:szCs w:val="24"/>
          <w:rtl w:val="0"/>
        </w:rPr>
        <w:t xml:space="preserve">tuning</w:t>
      </w:r>
      <w:r w:rsidDel="00000000" w:rsidR="00000000" w:rsidRPr="00000000">
        <w:rPr>
          <w:sz w:val="24"/>
          <w:szCs w:val="24"/>
          <w:rtl w:val="0"/>
        </w:rPr>
        <w:t xml:space="preserve"> se encapsuló dentro de un esquema de </w:t>
      </w:r>
      <w:r w:rsidDel="00000000" w:rsidR="00000000" w:rsidRPr="00000000">
        <w:rPr>
          <w:b w:val="1"/>
          <w:bCs w:val="1"/>
          <w:sz w:val="24"/>
          <w:szCs w:val="24"/>
          <w:rtl w:val="0"/>
        </w:rPr>
        <w:t xml:space="preserve">validación cruzada anidada</w:t>
      </w:r>
      <w:r w:rsidDel="00000000" w:rsidR="00000000" w:rsidRPr="00000000">
        <w:rPr>
          <w:sz w:val="24"/>
          <w:szCs w:val="24"/>
          <w:rtl w:val="0"/>
        </w:rPr>
        <w:t xml:space="preserve"> (</w:t>
      </w:r>
      <w:r w:rsidDel="00000000" w:rsidR="00000000" w:rsidRPr="00000000">
        <w:rPr>
          <w:i w:val="1"/>
          <w:iCs w:val="1"/>
          <w:sz w:val="24"/>
          <w:szCs w:val="24"/>
          <w:rtl w:val="0"/>
        </w:rPr>
        <w:t xml:space="preserve">nested cross-validation</w:t>
      </w:r>
      <w:r w:rsidDel="00000000" w:rsidR="00000000" w:rsidRPr="00000000">
        <w:rPr>
          <w:sz w:val="24"/>
          <w:szCs w:val="24"/>
          <w:rtl w:val="0"/>
        </w:rPr>
        <w:t xml:space="preserve">), siguiendo explícitamente el procedimiento de Gattermann-Itschert y Thonemann (2021): el bucle interno (GroupKFold sobre el conjunto de entrenamiento) ajusta y selecciona los hiperparámetros, mientras que el test </w:t>
      </w:r>
      <w:r w:rsidDel="00000000" w:rsidR="00000000" w:rsidRPr="00000000">
        <w:rPr>
          <w:i w:val="1"/>
          <w:iCs w:val="1"/>
          <w:sz w:val="24"/>
          <w:szCs w:val="24"/>
          <w:rtl w:val="0"/>
        </w:rPr>
        <w:t xml:space="preserve">out-of-period</w:t>
      </w:r>
      <w:r w:rsidDel="00000000" w:rsidR="00000000" w:rsidRPr="00000000">
        <w:rPr>
          <w:sz w:val="24"/>
          <w:szCs w:val="24"/>
          <w:rtl w:val="0"/>
        </w:rPr>
        <w:t xml:space="preserve"> permanece completamente aislado de la búsqueda y se evalúa una única vez al final. De este modo, la estimación de desempeño en despliegue no incurre en sesgo de selección. La configuración óptima resultó marcadamente regularizada (profundidad máxima de 3, tasa de aprendizaje de 0.011, 950 árboles, peso mínimo por hoja de 15 y ganancia mínima de 2.2), coherente con un problema acotado por su techo de señal, donde el control del sobreajuste prima sobre la complejidad del modelo. El modelo óptimo alcanzó un AUC de validación interna de 0.7422 y un AUC </w:t>
      </w:r>
      <w:r w:rsidDel="00000000" w:rsidR="00000000" w:rsidRPr="00000000">
        <w:rPr>
          <w:i w:val="1"/>
          <w:iCs w:val="1"/>
          <w:sz w:val="24"/>
          <w:szCs w:val="24"/>
          <w:rtl w:val="0"/>
        </w:rPr>
        <w:t xml:space="preserve">out-of-period</w:t>
      </w:r>
      <w:r w:rsidDel="00000000" w:rsidR="00000000" w:rsidRPr="00000000">
        <w:rPr>
          <w:sz w:val="24"/>
          <w:szCs w:val="24"/>
          <w:rtl w:val="0"/>
        </w:rPr>
        <w:t xml:space="preserve"> de </w:t>
      </w:r>
      <w:r w:rsidDel="00000000" w:rsidR="00000000" w:rsidRPr="00000000">
        <w:rPr>
          <w:b w:val="1"/>
          <w:bCs w:val="1"/>
          <w:sz w:val="24"/>
          <w:szCs w:val="24"/>
          <w:rtl w:val="0"/>
        </w:rPr>
        <w:t xml:space="preserve">0.7648</w:t>
      </w:r>
      <w:r w:rsidDel="00000000" w:rsidR="00000000" w:rsidRPr="00000000">
        <w:rPr>
          <w:sz w:val="24"/>
          <w:szCs w:val="24"/>
          <w:rtl w:val="0"/>
        </w:rPr>
        <w:t xml:space="preserve">, superando a su versión sin ajustar en 1.08 puntos porcentuales, con mejoras notables en </w:t>
      </w:r>
      <w:r w:rsidDel="00000000" w:rsidR="00000000" w:rsidRPr="00000000">
        <w:rPr>
          <w:i w:val="1"/>
          <w:iCs w:val="1"/>
          <w:sz w:val="24"/>
          <w:szCs w:val="24"/>
          <w:rtl w:val="0"/>
        </w:rPr>
        <w:t xml:space="preserve">recall</w:t>
      </w:r>
      <w:r w:rsidDel="00000000" w:rsidR="00000000" w:rsidRPr="00000000">
        <w:rPr>
          <w:sz w:val="24"/>
          <w:szCs w:val="24"/>
          <w:rtl w:val="0"/>
        </w:rPr>
        <w:t xml:space="preserve"> (de 0.724 a 0.776) y en </w:t>
      </w:r>
      <w:r w:rsidDel="00000000" w:rsidR="00000000" w:rsidRPr="00000000">
        <w:rPr>
          <w:i w:val="1"/>
          <w:iCs w:val="1"/>
          <w:sz w:val="24"/>
          <w:szCs w:val="24"/>
          <w:rtl w:val="0"/>
        </w:rPr>
        <w:t xml:space="preserve">lift</w:t>
      </w:r>
      <w:r w:rsidDel="00000000" w:rsidR="00000000" w:rsidRPr="00000000">
        <w:rPr>
          <w:sz w:val="24"/>
          <w:szCs w:val="24"/>
          <w:rtl w:val="0"/>
        </w:rPr>
        <w:t xml:space="preserve"> del decil superior (de 2.29× a 2.44×).</w:t>
      </w:r>
    </w:p>
    <w:p w:rsidR="00000000" w:rsidDel="00000000" w:rsidP="00000000" w:rsidRDefault="00000000" w:rsidRPr="00000000" w14:paraId="00000117">
      <w:pPr>
        <w:spacing w:before="120" w:lineRule="auto"/>
        <w:jc w:val="both"/>
        <w:rPr>
          <w:b w:val="1"/>
          <w:bCs w:val="1"/>
          <w:sz w:val="24"/>
          <w:szCs w:val="24"/>
        </w:rPr>
      </w:pPr>
      <w:r w:rsidDel="00000000" w:rsidR="00000000" w:rsidRPr="00000000">
        <w:rPr>
          <w:b w:val="1"/>
          <w:bCs w:val="1"/>
          <w:sz w:val="24"/>
          <w:szCs w:val="24"/>
          <w:rtl w:val="0"/>
        </w:rPr>
        <w:t xml:space="preserve">Figura 13</w:t>
      </w:r>
    </w:p>
    <w:p w:rsidR="00000000" w:rsidDel="00000000" w:rsidP="00000000" w:rsidRDefault="00000000" w:rsidRPr="00000000" w14:paraId="00000118">
      <w:pPr>
        <w:jc w:val="both"/>
        <w:rPr>
          <w:i w:val="1"/>
          <w:iCs w:val="1"/>
          <w:sz w:val="24"/>
          <w:szCs w:val="24"/>
        </w:rPr>
      </w:pPr>
      <w:r w:rsidDel="00000000" w:rsidR="00000000" w:rsidRPr="00000000">
        <w:rPr>
          <w:i w:val="1"/>
          <w:iCs w:val="1"/>
          <w:sz w:val="24"/>
          <w:szCs w:val="24"/>
          <w:rtl w:val="0"/>
        </w:rPr>
        <w:t xml:space="preserve">Historia de optimización e importancia de hiperparámetros (Optuna)</w:t>
      </w:r>
    </w:p>
    <w:p w:rsidR="00000000" w:rsidDel="00000000" w:rsidP="00000000" w:rsidRDefault="00000000" w:rsidRPr="00000000" w14:paraId="00000119">
      <w:pPr>
        <w:spacing w:before="120" w:lineRule="auto"/>
        <w:jc w:val="both"/>
        <w:rPr>
          <w:b w:val="1"/>
          <w:bCs w:val="1"/>
          <w:sz w:val="24"/>
          <w:szCs w:val="24"/>
        </w:rPr>
      </w:pPr>
      <w:r w:rsidDel="00000000" w:rsidR="00000000" w:rsidRPr="00000000">
        <w:rPr>
          <w:b w:val="1"/>
          <w:bCs w:val="1"/>
          <w:sz w:val="24"/>
          <w:szCs w:val="24"/>
          <w:rtl w:val="0"/>
        </w:rPr>
        <w:t xml:space="preserve">5.6 Evaluación de los modelos propuestos</w:t>
      </w:r>
    </w:p>
    <w:p w:rsidR="00000000" w:rsidDel="00000000" w:rsidP="00000000" w:rsidRDefault="00000000" w:rsidRPr="00000000" w14:paraId="0000011A">
      <w:pPr>
        <w:jc w:val="both"/>
        <w:rPr>
          <w:sz w:val="24"/>
          <w:szCs w:val="24"/>
        </w:rPr>
      </w:pPr>
      <w:r w:rsidDel="00000000" w:rsidR="00000000" w:rsidRPr="00000000">
        <w:rPr>
          <w:sz w:val="24"/>
          <w:szCs w:val="24"/>
          <w:rtl w:val="0"/>
        </w:rPr>
        <w:t xml:space="preserve">La evaluación final se realizó sobre el test temporal </w:t>
      </w:r>
      <w:r w:rsidDel="00000000" w:rsidR="00000000" w:rsidRPr="00000000">
        <w:rPr>
          <w:i w:val="1"/>
          <w:iCs w:val="1"/>
          <w:sz w:val="24"/>
          <w:szCs w:val="24"/>
          <w:rtl w:val="0"/>
        </w:rPr>
        <w:t xml:space="preserve">out-of-period</w:t>
      </w:r>
      <w:r w:rsidDel="00000000" w:rsidR="00000000" w:rsidRPr="00000000">
        <w:rPr>
          <w:sz w:val="24"/>
          <w:szCs w:val="24"/>
          <w:rtl w:val="0"/>
        </w:rPr>
        <w:t xml:space="preserve"> (803 observaciones de los últimos cuatro meses, con una prevalencia de churn del 26.2 %), reentrenando el modelo con la configuración óptima identificada. Se adoptó el </w:t>
      </w:r>
      <w:r w:rsidDel="00000000" w:rsidR="00000000" w:rsidRPr="00000000">
        <w:rPr>
          <w:b w:val="1"/>
          <w:bCs w:val="1"/>
          <w:sz w:val="24"/>
          <w:szCs w:val="24"/>
          <w:rtl w:val="0"/>
        </w:rPr>
        <w:t xml:space="preserve">AUC-ROC</w:t>
      </w:r>
      <w:r w:rsidDel="00000000" w:rsidR="00000000" w:rsidRPr="00000000">
        <w:rPr>
          <w:sz w:val="24"/>
          <w:szCs w:val="24"/>
          <w:rtl w:val="0"/>
        </w:rPr>
        <w:t xml:space="preserve"> como métrica principal, por su insensibilidad al desbalance de clases y su carácter independiente del umbral (Mena et al., 2024; Mirkovic et al., 2022), complementado con </w:t>
      </w:r>
      <w:r w:rsidDel="00000000" w:rsidR="00000000" w:rsidRPr="00000000">
        <w:rPr>
          <w:i w:val="1"/>
          <w:iCs w:val="1"/>
          <w:sz w:val="24"/>
          <w:szCs w:val="24"/>
          <w:rtl w:val="0"/>
        </w:rPr>
        <w:t xml:space="preserve">precision</w:t>
      </w:r>
      <w:r w:rsidDel="00000000" w:rsidR="00000000" w:rsidRPr="00000000">
        <w:rPr>
          <w:sz w:val="24"/>
          <w:szCs w:val="24"/>
          <w:rtl w:val="0"/>
        </w:rPr>
        <w:t xml:space="preserve">, </w:t>
      </w:r>
      <w:r w:rsidDel="00000000" w:rsidR="00000000" w:rsidRPr="00000000">
        <w:rPr>
          <w:i w:val="1"/>
          <w:iCs w:val="1"/>
          <w:sz w:val="24"/>
          <w:szCs w:val="24"/>
          <w:rtl w:val="0"/>
        </w:rPr>
        <w:t xml:space="preserve">recall</w:t>
      </w:r>
      <w:r w:rsidDel="00000000" w:rsidR="00000000" w:rsidRPr="00000000">
        <w:rPr>
          <w:sz w:val="24"/>
          <w:szCs w:val="24"/>
          <w:rtl w:val="0"/>
        </w:rPr>
        <w:t xml:space="preserve">, F1, </w:t>
      </w:r>
      <w:r w:rsidDel="00000000" w:rsidR="00000000" w:rsidRPr="00000000">
        <w:rPr>
          <w:i w:val="1"/>
          <w:iCs w:val="1"/>
          <w:sz w:val="24"/>
          <w:szCs w:val="24"/>
          <w:rtl w:val="0"/>
        </w:rPr>
        <w:t xml:space="preserve">lift</w:t>
      </w:r>
      <w:r w:rsidDel="00000000" w:rsidR="00000000" w:rsidRPr="00000000">
        <w:rPr>
          <w:sz w:val="24"/>
          <w:szCs w:val="24"/>
          <w:rtl w:val="0"/>
        </w:rPr>
        <w:t xml:space="preserve"> del decil superior y PR-AUC. El análisis se apoyó en las librerías scikit-learn y SHAP, junto con Matplotlib para las visualizaciones.</w:t>
      </w:r>
    </w:p>
    <w:p w:rsidR="00000000" w:rsidDel="00000000" w:rsidP="00000000" w:rsidRDefault="00000000" w:rsidRPr="00000000" w14:paraId="0000011B">
      <w:pPr>
        <w:jc w:val="both"/>
        <w:rPr>
          <w:sz w:val="24"/>
          <w:szCs w:val="24"/>
        </w:rPr>
      </w:pPr>
      <w:r w:rsidDel="00000000" w:rsidR="00000000" w:rsidRPr="00000000">
        <w:rPr>
          <w:sz w:val="24"/>
          <w:szCs w:val="24"/>
          <w:rtl w:val="0"/>
        </w:rPr>
        <w:t xml:space="preserve">En cuanto al </w:t>
      </w:r>
      <w:r w:rsidDel="00000000" w:rsidR="00000000" w:rsidRPr="00000000">
        <w:rPr>
          <w:b w:val="1"/>
          <w:bCs w:val="1"/>
          <w:sz w:val="24"/>
          <w:szCs w:val="24"/>
          <w:rtl w:val="0"/>
        </w:rPr>
        <w:t xml:space="preserve">poder discriminativo</w:t>
      </w:r>
      <w:r w:rsidDel="00000000" w:rsidR="00000000" w:rsidRPr="00000000">
        <w:rPr>
          <w:sz w:val="24"/>
          <w:szCs w:val="24"/>
          <w:rtl w:val="0"/>
        </w:rPr>
        <w:t xml:space="preserve">, el modelo alcanzó un AUC-ROC de 0.7648 y un PR-AUC de 0.503, equivalente a un </w:t>
      </w:r>
      <w:r w:rsidDel="00000000" w:rsidR="00000000" w:rsidRPr="00000000">
        <w:rPr>
          <w:i w:val="1"/>
          <w:iCs w:val="1"/>
          <w:sz w:val="24"/>
          <w:szCs w:val="24"/>
          <w:rtl w:val="0"/>
        </w:rPr>
        <w:t xml:space="preserve">lift</w:t>
      </w:r>
      <w:r w:rsidDel="00000000" w:rsidR="00000000" w:rsidRPr="00000000">
        <w:rPr>
          <w:sz w:val="24"/>
          <w:szCs w:val="24"/>
          <w:rtl w:val="0"/>
        </w:rPr>
        <w:t xml:space="preserve"> de 1.92× sobre la prevalencia. La matriz de confusión en el umbral por defecto (t = 0.5) identificó correctamente 163 de los 210 abandonos reales (</w:t>
      </w:r>
      <w:r w:rsidDel="00000000" w:rsidR="00000000" w:rsidRPr="00000000">
        <w:rPr>
          <w:i w:val="1"/>
          <w:iCs w:val="1"/>
          <w:sz w:val="24"/>
          <w:szCs w:val="24"/>
          <w:rtl w:val="0"/>
        </w:rPr>
        <w:t xml:space="preserve">recall</w:t>
      </w:r>
      <w:r w:rsidDel="00000000" w:rsidR="00000000" w:rsidRPr="00000000">
        <w:rPr>
          <w:sz w:val="24"/>
          <w:szCs w:val="24"/>
          <w:rtl w:val="0"/>
        </w:rPr>
        <w:t xml:space="preserve"> de 0.78), a costa de 217 falsas alarmas. El análisis de </w:t>
      </w:r>
      <w:r w:rsidDel="00000000" w:rsidR="00000000" w:rsidRPr="00000000">
        <w:rPr>
          <w:b w:val="1"/>
          <w:bCs w:val="1"/>
          <w:sz w:val="24"/>
          <w:szCs w:val="24"/>
          <w:rtl w:val="0"/>
        </w:rPr>
        <w:t xml:space="preserve">utilidad operativa</w:t>
      </w:r>
      <w:r w:rsidDel="00000000" w:rsidR="00000000" w:rsidRPr="00000000">
        <w:rPr>
          <w:sz w:val="24"/>
          <w:szCs w:val="24"/>
          <w:rtl w:val="0"/>
        </w:rPr>
        <w:t xml:space="preserve"> mediante curvas de ganancia y </w:t>
      </w:r>
      <w:r w:rsidDel="00000000" w:rsidR="00000000" w:rsidRPr="00000000">
        <w:rPr>
          <w:i w:val="1"/>
          <w:iCs w:val="1"/>
          <w:sz w:val="24"/>
          <w:szCs w:val="24"/>
          <w:rtl w:val="0"/>
        </w:rPr>
        <w:t xml:space="preserve">lift</w:t>
      </w:r>
      <w:r w:rsidDel="00000000" w:rsidR="00000000" w:rsidRPr="00000000">
        <w:rPr>
          <w:sz w:val="24"/>
          <w:szCs w:val="24"/>
          <w:rtl w:val="0"/>
        </w:rPr>
        <w:t xml:space="preserve"> acumulado mostró una capacidad de priorización aprovechable para la gestión de retención: al contactar el 10 % de la base con mayor puntaje, la precisión alcanza el 63 % (2.4× la prevalencia), y al contactar el 50 % se captura el 79 % de los abandonos (frente al 50 % esperable de una selección aleatoria).</w:t>
      </w:r>
    </w:p>
    <w:p w:rsidR="00000000" w:rsidDel="00000000" w:rsidP="00000000" w:rsidRDefault="00000000" w:rsidRPr="00000000" w14:paraId="0000011C">
      <w:pPr>
        <w:jc w:val="both"/>
        <w:rPr>
          <w:sz w:val="24"/>
          <w:szCs w:val="24"/>
        </w:rPr>
      </w:pPr>
      <w:r w:rsidDel="00000000" w:rsidR="00000000" w:rsidRPr="00000000">
        <w:rPr>
          <w:sz w:val="24"/>
          <w:szCs w:val="24"/>
          <w:rtl w:val="0"/>
        </w:rPr>
        <w:t xml:space="preserve">Respecto a la </w:t>
      </w:r>
      <w:r w:rsidDel="00000000" w:rsidR="00000000" w:rsidRPr="00000000">
        <w:rPr>
          <w:b w:val="1"/>
          <w:bCs w:val="1"/>
          <w:sz w:val="24"/>
          <w:szCs w:val="24"/>
          <w:rtl w:val="0"/>
        </w:rPr>
        <w:t xml:space="preserve">calibración</w:t>
      </w:r>
      <w:r w:rsidDel="00000000" w:rsidR="00000000" w:rsidRPr="00000000">
        <w:rPr>
          <w:sz w:val="24"/>
          <w:szCs w:val="24"/>
          <w:rtl w:val="0"/>
        </w:rPr>
        <w:t xml:space="preserve">, el análisis evidenció que las probabilidades predichas se encuentran infladas como consecuencia del aprendizaje sensible al costo (Brier </w:t>
      </w:r>
      <w:r w:rsidDel="00000000" w:rsidR="00000000" w:rsidRPr="00000000">
        <w:rPr>
          <w:i w:val="1"/>
          <w:iCs w:val="1"/>
          <w:sz w:val="24"/>
          <w:szCs w:val="24"/>
          <w:rtl w:val="0"/>
        </w:rPr>
        <w:t xml:space="preserve">score</w:t>
      </w:r>
      <w:r w:rsidDel="00000000" w:rsidR="00000000" w:rsidRPr="00000000">
        <w:rPr>
          <w:sz w:val="24"/>
          <w:szCs w:val="24"/>
          <w:rtl w:val="0"/>
        </w:rPr>
        <w:t xml:space="preserve"> de 0.20), por lo que el modelo es confiable como </w:t>
      </w:r>
      <w:r w:rsidDel="00000000" w:rsidR="00000000" w:rsidRPr="00000000">
        <w:rPr>
          <w:b w:val="1"/>
          <w:bCs w:val="1"/>
          <w:sz w:val="24"/>
          <w:szCs w:val="24"/>
          <w:rtl w:val="0"/>
        </w:rPr>
        <w:t xml:space="preserve">ordenador de riesgo</w:t>
      </w:r>
      <w:r w:rsidDel="00000000" w:rsidR="00000000" w:rsidRPr="00000000">
        <w:rPr>
          <w:sz w:val="24"/>
          <w:szCs w:val="24"/>
          <w:rtl w:val="0"/>
        </w:rPr>
        <w:t xml:space="preserve"> —su uso previsto para construir la lista priorizada de retención— pero no como estimador de probabilidad absoluta; de requerirse esta última, sería recomendable una recalibración posterior sin reentrenamiento.</w:t>
      </w:r>
    </w:p>
    <w:p w:rsidR="00000000" w:rsidDel="00000000" w:rsidP="00000000" w:rsidRDefault="00000000" w:rsidRPr="00000000" w14:paraId="0000011D">
      <w:pPr>
        <w:jc w:val="both"/>
        <w:rPr>
          <w:sz w:val="24"/>
          <w:szCs w:val="24"/>
        </w:rPr>
      </w:pPr>
      <w:r w:rsidDel="00000000" w:rsidR="00000000" w:rsidRPr="00000000">
        <w:rPr>
          <w:sz w:val="24"/>
          <w:szCs w:val="24"/>
          <w:rtl w:val="0"/>
        </w:rPr>
        <w:t xml:space="preserve">Finalmente, la </w:t>
      </w:r>
      <w:r w:rsidDel="00000000" w:rsidR="00000000" w:rsidRPr="00000000">
        <w:rPr>
          <w:b w:val="1"/>
          <w:bCs w:val="1"/>
          <w:sz w:val="24"/>
          <w:szCs w:val="24"/>
          <w:rtl w:val="0"/>
        </w:rPr>
        <w:t xml:space="preserve">interpretabilidad</w:t>
      </w:r>
      <w:r w:rsidDel="00000000" w:rsidR="00000000" w:rsidRPr="00000000">
        <w:rPr>
          <w:sz w:val="24"/>
          <w:szCs w:val="24"/>
          <w:rtl w:val="0"/>
        </w:rPr>
        <w:t xml:space="preserve"> del modelo se abordó con dos enfoques complementarios. La importancia de variables (combinando la ganancia nativa de XGBoost con la importancia por permutación sobre el test) y los valores SHAP (mediante el algoritmo </w:t>
      </w:r>
      <w:r w:rsidDel="00000000" w:rsidR="00000000" w:rsidRPr="00000000">
        <w:rPr>
          <w:i w:val="1"/>
          <w:iCs w:val="1"/>
          <w:sz w:val="24"/>
          <w:szCs w:val="24"/>
          <w:rtl w:val="0"/>
        </w:rPr>
        <w:t xml:space="preserve">TreeSHAP</w:t>
      </w:r>
      <w:r w:rsidDel="00000000" w:rsidR="00000000" w:rsidRPr="00000000">
        <w:rPr>
          <w:sz w:val="24"/>
          <w:szCs w:val="24"/>
          <w:rtl w:val="0"/>
        </w:rPr>
        <w:t xml:space="preserve">) coincidieron en señalar a las variables de </w:t>
      </w:r>
      <w:r w:rsidDel="00000000" w:rsidR="00000000" w:rsidRPr="00000000">
        <w:rPr>
          <w:b w:val="1"/>
          <w:bCs w:val="1"/>
          <w:sz w:val="24"/>
          <w:szCs w:val="24"/>
          <w:rtl w:val="0"/>
        </w:rPr>
        <w:t xml:space="preserve">volumen y frecuencia de actividad reciente</w:t>
      </w:r>
      <w:r w:rsidDel="00000000" w:rsidR="00000000" w:rsidRPr="00000000">
        <w:rPr>
          <w:sz w:val="24"/>
          <w:szCs w:val="24"/>
          <w:rtl w:val="0"/>
        </w:rPr>
        <w:t xml:space="preserve"> (número de productos y pedidos en ventanas de 3 a 12 meses, p. ej. `n_prod_u12`, `n_ped_u6`, `n_ped_u12`) y al </w:t>
      </w:r>
      <w:r w:rsidDel="00000000" w:rsidR="00000000" w:rsidRPr="00000000">
        <w:rPr>
          <w:b w:val="1"/>
          <w:bCs w:val="1"/>
          <w:sz w:val="24"/>
          <w:szCs w:val="24"/>
          <w:rtl w:val="0"/>
        </w:rPr>
        <w:t xml:space="preserve">historial acumulado</w:t>
      </w:r>
      <w:r w:rsidDel="00000000" w:rsidR="00000000" w:rsidRPr="00000000">
        <w:rPr>
          <w:sz w:val="24"/>
          <w:szCs w:val="24"/>
          <w:rtl w:val="0"/>
        </w:rPr>
        <w:t xml:space="preserve"> (`compras_hist`, pedidos y productos acumulados) como los principales determinantes de la predicción, en la dirección esperada: una menor actividad reciente y un menor historial elevan la probabilidad de abandono. El análisis SHAP a nivel individual permitió, además, descomponer predicciones específicas, habilitando la generación de explicaciones accionables para cada vendedora en riesgo.</w:t>
      </w:r>
    </w:p>
    <w:p w:rsidR="00000000" w:rsidDel="00000000" w:rsidP="00000000" w:rsidRDefault="00000000" w:rsidRPr="00000000" w14:paraId="0000011E">
      <w:pPr>
        <w:spacing w:before="120" w:lineRule="auto"/>
        <w:jc w:val="both"/>
        <w:rPr>
          <w:b w:val="1"/>
          <w:bCs w:val="1"/>
          <w:sz w:val="24"/>
          <w:szCs w:val="24"/>
        </w:rPr>
      </w:pPr>
      <w:r w:rsidDel="00000000" w:rsidR="00000000" w:rsidRPr="00000000">
        <w:rPr>
          <w:b w:val="1"/>
          <w:bCs w:val="1"/>
          <w:sz w:val="24"/>
          <w:szCs w:val="24"/>
          <w:rtl w:val="0"/>
        </w:rPr>
        <w:t xml:space="preserve">Figura 14</w:t>
      </w:r>
    </w:p>
    <w:p w:rsidR="00000000" w:rsidDel="00000000" w:rsidP="00000000" w:rsidRDefault="00000000" w:rsidRPr="00000000" w14:paraId="0000011F">
      <w:pPr>
        <w:jc w:val="both"/>
        <w:rPr>
          <w:i w:val="1"/>
          <w:iCs w:val="1"/>
          <w:sz w:val="24"/>
          <w:szCs w:val="24"/>
        </w:rPr>
      </w:pPr>
      <w:r w:rsidDel="00000000" w:rsidR="00000000" w:rsidRPr="00000000">
        <w:rPr>
          <w:i w:val="1"/>
          <w:iCs w:val="1"/>
          <w:sz w:val="24"/>
          <w:szCs w:val="24"/>
          <w:rtl w:val="0"/>
        </w:rPr>
        <w:t xml:space="preserve">Curvas ROC y Precision-Recall, y curva de ganancia acumulada sobre el test out-of-period</w:t>
      </w:r>
    </w:p>
    <w:p w:rsidR="00000000" w:rsidDel="00000000" w:rsidP="00000000" w:rsidRDefault="00000000" w:rsidRPr="00000000" w14:paraId="00000120">
      <w:pPr>
        <w:spacing w:before="120" w:lineRule="auto"/>
        <w:jc w:val="both"/>
        <w:rPr>
          <w:b w:val="1"/>
          <w:bCs w:val="1"/>
          <w:sz w:val="24"/>
          <w:szCs w:val="24"/>
        </w:rPr>
      </w:pPr>
      <w:r w:rsidDel="00000000" w:rsidR="00000000" w:rsidRPr="00000000">
        <w:rPr>
          <w:b w:val="1"/>
          <w:bCs w:val="1"/>
          <w:sz w:val="24"/>
          <w:szCs w:val="24"/>
          <w:rtl w:val="0"/>
        </w:rPr>
        <w:t xml:space="preserve">Figura 15</w:t>
      </w:r>
    </w:p>
    <w:p w:rsidR="00000000" w:rsidDel="00000000" w:rsidP="00000000" w:rsidRDefault="00000000" w:rsidRPr="00000000" w14:paraId="00000121">
      <w:pPr>
        <w:jc w:val="both"/>
        <w:rPr>
          <w:i w:val="1"/>
          <w:iCs w:val="1"/>
          <w:sz w:val="24"/>
          <w:szCs w:val="24"/>
        </w:rPr>
      </w:pPr>
      <w:r w:rsidDel="00000000" w:rsidR="00000000" w:rsidRPr="00000000">
        <w:rPr>
          <w:i w:val="1"/>
          <w:iCs w:val="1"/>
          <w:sz w:val="24"/>
          <w:szCs w:val="24"/>
          <w:rtl w:val="0"/>
        </w:rPr>
        <w:t xml:space="preserve">Importancia global de variables (SHAP) sobre el test out-of-period</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presentan los hallazgos de manera objetiva, estructurada y sin interpretación extensiva. Los resultados deben responder directamente a los objetivos o hipótesis del estudio.</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Se recomienda el uso de tablas, figuras y métricas cuantitativas cuando corresponda. En estudios cualitativos, deben incluirse categorías, patrones o evidencias empíricas claramente organizadas. La interpretación debe reservarse para la sección de discusión.]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DISCUSIÓN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analizan e interpretan los resultados en relación con la literatura científica existente. Esta sección debe explicar las implicancias teóricas, metodológicas y prácticas de los hallazgos.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 compararse explícitamente con estudios previos, destacando convergencias, divergencias y aportes originales. Asimismo, se deben reconocer limitaciones del estudio de manera crítica y fundamentada, evitando generalizaciones no sustentadas.]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presentan las conclusiones derivadas directamente de los resultados obtenidos, en coherencia con los objetivos del estudio. No deben introducir información nueva.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Se recomienda incluir una síntesis del aporte principal del trabajo, su relevancia científica o aplicada, y las principales implicancias del estudio en el campo correspondiente.]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TRABAJOS FUTUROS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proponen líneas de investigación derivadas del estudio, basadas en limitaciones identificadas o nuevas preguntas abiertas.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Deben ser propuestas concretas, metodológicamente viables y alineadas con la evolución del campo, evitando generalidades como “mejorar el modelo” sin especificación.]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135">
      <w:pPr>
        <w:spacing w:after="160" w:line="259" w:lineRule="auto"/>
        <w:rPr>
          <w:rFonts w:ascii="Linux Libertine" w:cs="Linux Libertine" w:eastAsia="Linux Libertine" w:hAnsi="Linux Libertine"/>
        </w:rPr>
      </w:pPr>
      <w:r w:rsidDel="00000000" w:rsidR="00000000" w:rsidRPr="00000000">
        <w:rPr>
          <w:rtl w:val="0"/>
        </w:rPr>
      </w:r>
    </w:p>
    <w:p w:rsidR="00000000" w:rsidDel="00000000" w:rsidP="00000000" w:rsidRDefault="00000000" w:rsidRPr="00000000" w14:paraId="00000136">
      <w:pPr>
        <w:spacing w:after="16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Seclen, D. (2026, 26 de abril). Mypes peruanas aceleran uso de IA: de la ciencia ficción al asistente de los emprendedores. </w:t>
      </w:r>
      <w:r w:rsidDel="00000000" w:rsidR="00000000" w:rsidRPr="00000000">
        <w:rPr>
          <w:rFonts w:ascii="Linux Libertine" w:cs="Linux Libertine" w:eastAsia="Linux Libertine" w:hAnsi="Linux Libertine"/>
          <w:i w:val="1"/>
          <w:iCs w:val="1"/>
          <w:rtl w:val="0"/>
        </w:rPr>
        <w:t xml:space="preserve">Gestión</w:t>
      </w:r>
      <w:r w:rsidDel="00000000" w:rsidR="00000000" w:rsidRPr="00000000">
        <w:rPr>
          <w:rFonts w:ascii="Linux Libertine" w:cs="Linux Libertine" w:eastAsia="Linux Libertine" w:hAnsi="Linux Libertine"/>
          <w:rtl w:val="0"/>
        </w:rPr>
        <w:t xml:space="preserve">.</w:t>
      </w:r>
      <w:hyperlink r:id="rId21">
        <w:r w:rsidDel="00000000" w:rsidR="00000000" w:rsidRPr="00000000">
          <w:rPr>
            <w:rFonts w:ascii="Linux Libertine" w:cs="Linux Libertine" w:eastAsia="Linux Libertine" w:hAnsi="Linux Libertine"/>
            <w:rtl w:val="0"/>
          </w:rPr>
          <w:t xml:space="preserve"> </w:t>
        </w:r>
      </w:hyperlink>
      <w:hyperlink r:id="rId22">
        <w:r w:rsidDel="00000000" w:rsidR="00000000" w:rsidRPr="00000000">
          <w:rPr>
            <w:rFonts w:ascii="Linux Libertine" w:cs="Linux Libertine" w:eastAsia="Linux Libertine" w:hAnsi="Linux Libertine"/>
            <w:color w:val="1155cc"/>
            <w:u w:val="single"/>
            <w:rtl w:val="0"/>
          </w:rPr>
          <w:t xml:space="preserve">https://gestion.pe/tecnologia/mypes-peruanas-aceleran-uso-de-ia-de-la-ciencia-ficcion-al-asistente-que-ya-trabaja-con-los-emprendedores-los-retos-noticia/</w:t>
        </w:r>
      </w:hyperlink>
      <w:r w:rsidDel="00000000" w:rsidR="00000000" w:rsidRPr="00000000">
        <w:rPr>
          <w:rFonts w:ascii="Linux Libertine" w:cs="Linux Libertine" w:eastAsia="Linux Libertine" w:hAnsi="Linux Libertine"/>
          <w:rtl w:val="0"/>
        </w:rPr>
        <w:t xml:space="preserve"> </w:t>
      </w:r>
    </w:p>
    <w:p w:rsidR="00000000" w:rsidDel="00000000" w:rsidP="00000000" w:rsidRDefault="00000000" w:rsidRPr="00000000" w14:paraId="00000137">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Tornillo &amp; Pascal et al. (2019). Personality Traits and Business Intelligence: A Model to Improve Direct Selling Systems. ICIM IEEE Conference.</w:t>
      </w:r>
    </w:p>
    <w:p w:rsidR="00000000" w:rsidDel="00000000" w:rsidP="00000000" w:rsidRDefault="00000000" w:rsidRPr="00000000" w14:paraId="00000138">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Glackin &amp; Adivar (2022). Using the power of machine learning in sales research: process and potential. Journal of Personal Selling &amp; Sales Management.</w:t>
      </w:r>
    </w:p>
    <w:p w:rsidR="00000000" w:rsidDel="00000000" w:rsidP="00000000" w:rsidRDefault="00000000" w:rsidRPr="00000000" w14:paraId="00000139">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Mirkovic, Lolic, Stefanovic, Anderla &amp; Gracanin (2022). Customer Churn Prediction in B2B Non-Contractual Business Settings Using Invoice Data. Applied Sciences.</w:t>
      </w:r>
    </w:p>
    <w:p w:rsidR="00000000" w:rsidDel="00000000" w:rsidP="00000000" w:rsidRDefault="00000000" w:rsidRPr="00000000" w14:paraId="0000013A">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Gattermann-Itschert &amp; Thonemann (2021). How training on multiple time slices improves performance in churn prediction. European Journal of Operational Research.</w:t>
      </w:r>
    </w:p>
    <w:p w:rsidR="00000000" w:rsidDel="00000000" w:rsidP="00000000" w:rsidRDefault="00000000" w:rsidRPr="00000000" w14:paraId="0000013B">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Gattermann-Itschert &amp; Thonemann (2022). Proactive customer retention management in a non-contractual setting. Industrial Marketing Management.</w:t>
      </w:r>
    </w:p>
    <w:p w:rsidR="00000000" w:rsidDel="00000000" w:rsidP="00000000" w:rsidRDefault="00000000" w:rsidRPr="00000000" w14:paraId="0000013C">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De Caigny &amp; Coussement et al. (2018). A new hybrid classification algorithm for customer churn prediction based on logistic regression and decision trees. European Journal of Operational Research.</w:t>
      </w:r>
    </w:p>
    <w:p w:rsidR="00000000" w:rsidDel="00000000" w:rsidP="00000000" w:rsidRDefault="00000000" w:rsidRPr="00000000" w14:paraId="0000013D">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De Caigny &amp; De Bock et al. (2024). Hybrid black-box classification for customer churn prediction with segmented interpretability analysis. Decision Support Systems.</w:t>
      </w:r>
    </w:p>
    <w:p w:rsidR="00000000" w:rsidDel="00000000" w:rsidP="00000000" w:rsidRDefault="00000000" w:rsidRPr="00000000" w14:paraId="0000013E">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Höppner &amp; Stripling et al. (2020). Profit driven decision trees for churn prediction. European Journal of Operational Research.</w:t>
      </w:r>
    </w:p>
    <w:p w:rsidR="00000000" w:rsidDel="00000000" w:rsidP="00000000" w:rsidRDefault="00000000" w:rsidRPr="00000000" w14:paraId="0000013F">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Janssens &amp; Bogaert et al. (2024). B2Boost: instance-dependent profit-driven modelling of B2B churn. Annals of Operations Research.</w:t>
      </w:r>
    </w:p>
    <w:p w:rsidR="00000000" w:rsidDel="00000000" w:rsidP="00000000" w:rsidRDefault="00000000" w:rsidRPr="00000000" w14:paraId="00000140">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Lemmens &amp; Gupta (2020). Managing Churn to Maximize Profits. Marketing Science.</w:t>
      </w:r>
    </w:p>
    <w:p w:rsidR="00000000" w:rsidDel="00000000" w:rsidP="00000000" w:rsidRDefault="00000000" w:rsidRPr="00000000" w14:paraId="00000141">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Martínez &amp; Schmuck et al. (2020). A machine learning framework for customer purchase prediction in the non-contractual setting. European Journal of Operational Research.</w:t>
      </w:r>
    </w:p>
    <w:p w:rsidR="00000000" w:rsidDel="00000000" w:rsidP="00000000" w:rsidRDefault="00000000" w:rsidRPr="00000000" w14:paraId="00000142">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Mena &amp; Coussement et al. (2024). Exploiting time-varying RFM measures for customer churn prediction with deep neural networks. Annals of Operations Research.</w:t>
      </w:r>
    </w:p>
    <w:p w:rsidR="00000000" w:rsidDel="00000000" w:rsidP="00000000" w:rsidRDefault="00000000" w:rsidRPr="00000000" w14:paraId="00000143">
      <w:pPr>
        <w:spacing w:after="160" w:line="259" w:lineRule="auto"/>
        <w:rPr>
          <w:rFonts w:ascii="Linux Libertine" w:cs="Linux Libertine" w:eastAsia="Linux Libertine" w:hAnsi="Linux Libertine"/>
        </w:rPr>
      </w:pPr>
      <w:r w:rsidDel="00000000" w:rsidR="00000000" w:rsidRPr="00000000">
        <w:rPr>
          <w:rtl w:val="0"/>
        </w:rPr>
      </w:r>
    </w:p>
    <w:p w:rsidR="00000000" w:rsidDel="00000000" w:rsidP="00000000" w:rsidRDefault="00000000" w:rsidRPr="00000000" w14:paraId="00000144">
      <w:pPr>
        <w:spacing w:after="160" w:line="259" w:lineRule="auto"/>
        <w:rPr>
          <w:rFonts w:ascii="Linux Libertine" w:cs="Linux Libertine" w:eastAsia="Linux Libertine" w:hAnsi="Linux Libertine"/>
        </w:rPr>
      </w:pPr>
      <w:r w:rsidDel="00000000" w:rsidR="00000000" w:rsidRPr="00000000">
        <w:br w:type="page"/>
      </w:r>
      <w:r w:rsidDel="00000000" w:rsidR="00000000" w:rsidRPr="00000000">
        <w:rPr>
          <w:rtl w:val="0"/>
        </w:rPr>
      </w:r>
    </w:p>
    <w:p w:rsidR="00000000" w:rsidDel="00000000" w:rsidP="00000000" w:rsidRDefault="00000000" w:rsidRPr="00000000" w14:paraId="00000145">
      <w:pPr>
        <w:spacing w:line="259" w:lineRule="auto"/>
        <w:rPr/>
      </w:pPr>
      <w:r w:rsidDel="00000000" w:rsidR="00000000" w:rsidRPr="00000000">
        <w:rPr>
          <w:rtl w:val="0"/>
        </w:rPr>
        <w:t xml:space="preserve">Variables utilizadas en el estudio.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30"/>
        <w:gridCol w:w="4155"/>
        <w:gridCol w:w="1500"/>
        <w:tblGridChange w:id="0">
          <w:tblGrid>
            <w:gridCol w:w="1770"/>
            <w:gridCol w:w="1530"/>
            <w:gridCol w:w="4155"/>
            <w:gridCol w:w="1500"/>
          </w:tblGrid>
        </w:tblGridChange>
      </w:tblGrid>
      <w:tr>
        <w:trPr>
          <w:cantSplit w:val="0"/>
          <w:trHeight w:val="285" w:hRule="atLeast"/>
          <w:tblHeader w:val="0"/>
        </w:trPr>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6">
            <w:pPr>
              <w:spacing w:after="20" w:before="20" w:line="259" w:lineRule="auto"/>
              <w:rPr>
                <w:sz w:val="19"/>
                <w:szCs w:val="19"/>
              </w:rPr>
            </w:pPr>
            <w:r w:rsidDel="00000000" w:rsidR="00000000" w:rsidRPr="00000000">
              <w:rPr>
                <w:sz w:val="19"/>
                <w:szCs w:val="19"/>
                <w:rtl w:val="0"/>
              </w:rPr>
              <w:t xml:space="preserve">Tipo</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7">
            <w:pPr>
              <w:spacing w:after="20" w:before="20" w:line="259" w:lineRule="auto"/>
              <w:rPr>
                <w:sz w:val="19"/>
                <w:szCs w:val="19"/>
              </w:rPr>
            </w:pPr>
            <w:r w:rsidDel="00000000" w:rsidR="00000000" w:rsidRPr="00000000">
              <w:rPr>
                <w:sz w:val="19"/>
                <w:szCs w:val="19"/>
                <w:rtl w:val="0"/>
              </w:rPr>
              <w:t xml:space="preserve">Categoría</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8">
            <w:pPr>
              <w:spacing w:after="20" w:before="20" w:line="259" w:lineRule="auto"/>
              <w:rPr>
                <w:sz w:val="19"/>
                <w:szCs w:val="19"/>
              </w:rPr>
            </w:pPr>
            <w:r w:rsidDel="00000000" w:rsidR="00000000" w:rsidRPr="00000000">
              <w:rPr>
                <w:sz w:val="19"/>
                <w:szCs w:val="19"/>
                <w:rtl w:val="0"/>
              </w:rPr>
              <w:t xml:space="preserve">Variaciones de la variable</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9">
            <w:pPr>
              <w:spacing w:after="20" w:before="20" w:line="259" w:lineRule="auto"/>
              <w:rPr>
                <w:sz w:val="19"/>
                <w:szCs w:val="19"/>
              </w:rPr>
            </w:pPr>
            <w:r w:rsidDel="00000000" w:rsidR="00000000" w:rsidRPr="00000000">
              <w:rPr>
                <w:sz w:val="19"/>
                <w:szCs w:val="19"/>
                <w:rtl w:val="0"/>
              </w:rPr>
              <w:t xml:space="preserve">Fuente</w:t>
            </w:r>
          </w:p>
        </w:tc>
      </w:tr>
      <w:tr>
        <w:trPr>
          <w:cantSplit w:val="0"/>
          <w:trHeight w:val="675" w:hRule="atLeast"/>
          <w:tblHeader w:val="0"/>
        </w:trPr>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A">
            <w:pPr>
              <w:spacing w:after="20" w:before="20" w:line="259" w:lineRule="auto"/>
              <w:rPr>
                <w:sz w:val="18"/>
                <w:szCs w:val="18"/>
              </w:rPr>
            </w:pPr>
            <w:r w:rsidDel="00000000" w:rsidR="00000000" w:rsidRPr="00000000">
              <w:rPr>
                <w:sz w:val="18"/>
                <w:szCs w:val="18"/>
                <w:rtl w:val="0"/>
              </w:rPr>
              <w:t xml:space="preserve">Recencia, frecuencia y valor monetario (RFM)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B">
            <w:pPr>
              <w:spacing w:after="20" w:before="20" w:line="259" w:lineRule="auto"/>
              <w:rPr>
                <w:sz w:val="18"/>
                <w:szCs w:val="18"/>
              </w:rPr>
            </w:pPr>
            <w:r w:rsidDel="00000000" w:rsidR="00000000" w:rsidRPr="00000000">
              <w:rPr>
                <w:sz w:val="18"/>
                <w:szCs w:val="18"/>
                <w:rtl w:val="0"/>
              </w:rPr>
              <w:t xml:space="preserve">Recencia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C">
            <w:pPr>
              <w:spacing w:after="20" w:before="20" w:line="259" w:lineRule="auto"/>
              <w:rPr>
                <w:sz w:val="18"/>
                <w:szCs w:val="18"/>
              </w:rPr>
            </w:pPr>
            <w:r w:rsidDel="00000000" w:rsidR="00000000" w:rsidRPr="00000000">
              <w:rPr>
                <w:sz w:val="18"/>
                <w:szCs w:val="18"/>
                <w:rtl w:val="0"/>
              </w:rPr>
              <w:t xml:space="preserve">Meses desde la compra previa (</w:t>
            </w:r>
            <w:r w:rsidDel="00000000" w:rsidR="00000000" w:rsidRPr="00000000">
              <w:rPr>
                <w:i w:val="1"/>
                <w:iCs w:val="1"/>
                <w:sz w:val="18"/>
                <w:szCs w:val="18"/>
                <w:rtl w:val="0"/>
              </w:rPr>
              <w:t xml:space="preserve">meses_desde_compra_previa</w:t>
            </w:r>
            <w:r w:rsidDel="00000000" w:rsidR="00000000" w:rsidRPr="00000000">
              <w:rPr>
                <w:sz w:val="18"/>
                <w:szCs w:val="18"/>
                <w:rtl w:val="0"/>
              </w:rPr>
              <w:t xml:space="preserve">); recencia ponderada por la actividad reciente (</w:t>
            </w:r>
            <w:r w:rsidDel="00000000" w:rsidR="00000000" w:rsidRPr="00000000">
              <w:rPr>
                <w:i w:val="1"/>
                <w:iCs w:val="1"/>
                <w:sz w:val="18"/>
                <w:szCs w:val="18"/>
                <w:rtl w:val="0"/>
              </w:rPr>
              <w:t xml:space="preserve">recencia_norm</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D">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108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20" w:before="20" w:line="259" w:lineRule="auto"/>
              <w:rPr>
                <w:sz w:val="18"/>
                <w:szCs w:val="18"/>
              </w:rPr>
            </w:pPr>
            <w:r w:rsidDel="00000000" w:rsidR="00000000" w:rsidRPr="00000000">
              <w:rPr>
                <w:sz w:val="18"/>
                <w:szCs w:val="18"/>
                <w:rtl w:val="0"/>
              </w:rPr>
              <w:t xml:space="preserve">Frecuencia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20" w:before="20" w:line="259" w:lineRule="auto"/>
              <w:rPr>
                <w:sz w:val="18"/>
                <w:szCs w:val="18"/>
              </w:rPr>
            </w:pPr>
            <w:r w:rsidDel="00000000" w:rsidR="00000000" w:rsidRPr="00000000">
              <w:rPr>
                <w:sz w:val="18"/>
                <w:szCs w:val="18"/>
                <w:rtl w:val="0"/>
              </w:rPr>
              <w:t xml:space="preserve">Meses activos y nº de pedidos por ventana u3/u6/u12 (</w:t>
            </w:r>
            <w:r w:rsidDel="00000000" w:rsidR="00000000" w:rsidRPr="00000000">
              <w:rPr>
                <w:i w:val="1"/>
                <w:iCs w:val="1"/>
                <w:sz w:val="18"/>
                <w:szCs w:val="18"/>
                <w:rtl w:val="0"/>
              </w:rPr>
              <w:t xml:space="preserve">meses_activos_u{3,6,12}</w:t>
            </w:r>
            <w:r w:rsidDel="00000000" w:rsidR="00000000" w:rsidRPr="00000000">
              <w:rPr>
                <w:sz w:val="18"/>
                <w:szCs w:val="18"/>
                <w:rtl w:val="0"/>
              </w:rPr>
              <w:t xml:space="preserve">, </w:t>
            </w:r>
            <w:r w:rsidDel="00000000" w:rsidR="00000000" w:rsidRPr="00000000">
              <w:rPr>
                <w:i w:val="1"/>
                <w:iCs w:val="1"/>
                <w:sz w:val="18"/>
                <w:szCs w:val="18"/>
                <w:rtl w:val="0"/>
              </w:rPr>
              <w:t xml:space="preserve">n_ped_u{3,6,12}</w:t>
            </w:r>
            <w:r w:rsidDel="00000000" w:rsidR="00000000" w:rsidRPr="00000000">
              <w:rPr>
                <w:sz w:val="18"/>
                <w:szCs w:val="18"/>
                <w:rtl w:val="0"/>
              </w:rPr>
              <w:t xml:space="preserve">); intensidad = pedidos por mes activo (</w:t>
            </w:r>
            <w:r w:rsidDel="00000000" w:rsidR="00000000" w:rsidRPr="00000000">
              <w:rPr>
                <w:i w:val="1"/>
                <w:iCs w:val="1"/>
                <w:sz w:val="18"/>
                <w:szCs w:val="18"/>
                <w:rtl w:val="0"/>
              </w:rPr>
              <w:t xml:space="preserve">intensidad_u3</w:t>
            </w:r>
            <w:r w:rsidDel="00000000" w:rsidR="00000000" w:rsidRPr="00000000">
              <w:rPr>
                <w:sz w:val="18"/>
                <w:szCs w:val="18"/>
                <w:rtl w:val="0"/>
              </w:rPr>
              <w:t xml:space="preserve">); actividad reciente vs. histórica (</w:t>
            </w:r>
            <w:r w:rsidDel="00000000" w:rsidR="00000000" w:rsidRPr="00000000">
              <w:rPr>
                <w:i w:val="1"/>
                <w:iCs w:val="1"/>
                <w:sz w:val="18"/>
                <w:szCs w:val="18"/>
                <w:rtl w:val="0"/>
              </w:rPr>
              <w:t xml:space="preserve">tasa_act_reciente_vs_hist</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1290"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20" w:before="20" w:line="259" w:lineRule="auto"/>
              <w:rPr>
                <w:sz w:val="18"/>
                <w:szCs w:val="18"/>
              </w:rPr>
            </w:pPr>
            <w:r w:rsidDel="00000000" w:rsidR="00000000" w:rsidRPr="00000000">
              <w:rPr>
                <w:sz w:val="18"/>
                <w:szCs w:val="18"/>
                <w:rtl w:val="0"/>
              </w:rPr>
              <w:t xml:space="preserve">Valor monetario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after="20" w:before="20" w:line="259" w:lineRule="auto"/>
              <w:rPr>
                <w:sz w:val="18"/>
                <w:szCs w:val="18"/>
              </w:rPr>
            </w:pPr>
            <w:r w:rsidDel="00000000" w:rsidR="00000000" w:rsidRPr="00000000">
              <w:rPr>
                <w:sz w:val="18"/>
                <w:szCs w:val="18"/>
                <w:rtl w:val="0"/>
              </w:rPr>
              <w:t xml:space="preserve">Monto por ventana u3/u6/u12 (</w:t>
            </w:r>
            <w:r w:rsidDel="00000000" w:rsidR="00000000" w:rsidRPr="00000000">
              <w:rPr>
                <w:i w:val="1"/>
                <w:iCs w:val="1"/>
                <w:sz w:val="18"/>
                <w:szCs w:val="18"/>
                <w:rtl w:val="0"/>
              </w:rPr>
              <w:t xml:space="preserve">monto_u{3,6,12}</w:t>
            </w:r>
            <w:r w:rsidDel="00000000" w:rsidR="00000000" w:rsidRPr="00000000">
              <w:rPr>
                <w:sz w:val="18"/>
                <w:szCs w:val="18"/>
                <w:rtl w:val="0"/>
              </w:rPr>
              <w:t xml:space="preserve">); media, desviación estándar y coeficiente de variación a 12 m (</w:t>
            </w:r>
            <w:r w:rsidDel="00000000" w:rsidR="00000000" w:rsidRPr="00000000">
              <w:rPr>
                <w:i w:val="1"/>
                <w:iCs w:val="1"/>
                <w:sz w:val="18"/>
                <w:szCs w:val="18"/>
                <w:rtl w:val="0"/>
              </w:rPr>
              <w:t xml:space="preserve">monto_mean_u12</w:t>
            </w:r>
            <w:r w:rsidDel="00000000" w:rsidR="00000000" w:rsidRPr="00000000">
              <w:rPr>
                <w:sz w:val="18"/>
                <w:szCs w:val="18"/>
                <w:rtl w:val="0"/>
              </w:rPr>
              <w:t xml:space="preserve">, </w:t>
            </w:r>
            <w:r w:rsidDel="00000000" w:rsidR="00000000" w:rsidRPr="00000000">
              <w:rPr>
                <w:i w:val="1"/>
                <w:iCs w:val="1"/>
                <w:sz w:val="18"/>
                <w:szCs w:val="18"/>
                <w:rtl w:val="0"/>
              </w:rPr>
              <w:t xml:space="preserve">monto_std_u12</w:t>
            </w:r>
            <w:r w:rsidDel="00000000" w:rsidR="00000000" w:rsidRPr="00000000">
              <w:rPr>
                <w:sz w:val="18"/>
                <w:szCs w:val="18"/>
                <w:rtl w:val="0"/>
              </w:rPr>
              <w:t xml:space="preserve">, </w:t>
            </w:r>
            <w:r w:rsidDel="00000000" w:rsidR="00000000" w:rsidRPr="00000000">
              <w:rPr>
                <w:i w:val="1"/>
                <w:iCs w:val="1"/>
                <w:sz w:val="18"/>
                <w:szCs w:val="18"/>
                <w:rtl w:val="0"/>
              </w:rPr>
              <w:t xml:space="preserve">monto_cv_u12</w:t>
            </w:r>
            <w:r w:rsidDel="00000000" w:rsidR="00000000" w:rsidRPr="00000000">
              <w:rPr>
                <w:sz w:val="18"/>
                <w:szCs w:val="18"/>
                <w:rtl w:val="0"/>
              </w:rPr>
              <w:t xml:space="preserve">); último mes vs. media (</w:t>
            </w:r>
            <w:r w:rsidDel="00000000" w:rsidR="00000000" w:rsidRPr="00000000">
              <w:rPr>
                <w:i w:val="1"/>
                <w:iCs w:val="1"/>
                <w:sz w:val="18"/>
                <w:szCs w:val="18"/>
                <w:rtl w:val="0"/>
              </w:rPr>
              <w:t xml:space="preserve">monto_ult_vs_media</w:t>
            </w:r>
            <w:r w:rsidDel="00000000" w:rsidR="00000000" w:rsidRPr="00000000">
              <w:rPr>
                <w:sz w:val="18"/>
                <w:szCs w:val="18"/>
                <w:rtl w:val="0"/>
              </w:rPr>
              <w:t xml:space="preserve">); ticket promedio u3/u12 (</w:t>
            </w:r>
            <w:r w:rsidDel="00000000" w:rsidR="00000000" w:rsidRPr="00000000">
              <w:rPr>
                <w:i w:val="1"/>
                <w:iCs w:val="1"/>
                <w:sz w:val="18"/>
                <w:szCs w:val="18"/>
                <w:rtl w:val="0"/>
              </w:rPr>
              <w:t xml:space="preserve">ticket_prom_u3</w:t>
            </w:r>
            <w:r w:rsidDel="00000000" w:rsidR="00000000" w:rsidRPr="00000000">
              <w:rPr>
                <w:sz w:val="18"/>
                <w:szCs w:val="18"/>
                <w:rtl w:val="0"/>
              </w:rPr>
              <w:t xml:space="preserve">, </w:t>
            </w:r>
            <w:r w:rsidDel="00000000" w:rsidR="00000000" w:rsidRPr="00000000">
              <w:rPr>
                <w:i w:val="1"/>
                <w:iCs w:val="1"/>
                <w:sz w:val="18"/>
                <w:szCs w:val="18"/>
                <w:rtl w:val="0"/>
              </w:rPr>
              <w:t xml:space="preserve">ticket_prom_u12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restart"/>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20" w:before="20" w:line="259" w:lineRule="auto"/>
              <w:rPr>
                <w:sz w:val="18"/>
                <w:szCs w:val="18"/>
              </w:rPr>
            </w:pPr>
            <w:r w:rsidDel="00000000" w:rsidR="00000000" w:rsidRPr="00000000">
              <w:rPr>
                <w:sz w:val="18"/>
                <w:szCs w:val="18"/>
                <w:rtl w:val="0"/>
              </w:rPr>
              <w:t xml:space="preserve">Dinámica temporal (tendencias y deltas)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after="20" w:before="20" w:line="259" w:lineRule="auto"/>
              <w:rPr>
                <w:sz w:val="18"/>
                <w:szCs w:val="18"/>
              </w:rPr>
            </w:pPr>
            <w:r w:rsidDel="00000000" w:rsidR="00000000" w:rsidRPr="00000000">
              <w:rPr>
                <w:sz w:val="18"/>
                <w:szCs w:val="18"/>
                <w:rtl w:val="0"/>
              </w:rPr>
              <w:t xml:space="preserve">Tendencia normalizada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after="20" w:before="20" w:line="259" w:lineRule="auto"/>
              <w:rPr>
                <w:sz w:val="18"/>
                <w:szCs w:val="18"/>
              </w:rPr>
            </w:pPr>
            <w:sdt>
              <w:sdtPr>
                <w:id w:val="259162671"/>
                <w:tag w:val="goog_rdk_7"/>
              </w:sdtPr>
              <w:sdtContent>
                <w:r w:rsidDel="00000000" w:rsidR="00000000" w:rsidRPr="00000000">
                  <w:rPr>
                    <w:rFonts w:ascii="Gungsuh" w:cs="Gungsuh" w:eastAsia="Gungsuh" w:hAnsi="Gungsuh"/>
                    <w:sz w:val="18"/>
                    <w:szCs w:val="18"/>
                    <w:rtl w:val="0"/>
                  </w:rPr>
                  <w:t xml:space="preserve">Cambio relativo reciente vs. previo en [−1, 1], u3 vs. prev3, para monto y nº de pedidos (</w:t>
                </w:r>
              </w:sdtContent>
            </w:sdt>
            <w:r w:rsidDel="00000000" w:rsidR="00000000" w:rsidRPr="00000000">
              <w:rPr>
                <w:i w:val="1"/>
                <w:iCs w:val="1"/>
                <w:sz w:val="18"/>
                <w:szCs w:val="18"/>
                <w:rtl w:val="0"/>
              </w:rPr>
              <w:t xml:space="preserve">tend_monto_u3_vs_prev3</w:t>
            </w:r>
            <w:r w:rsidDel="00000000" w:rsidR="00000000" w:rsidRPr="00000000">
              <w:rPr>
                <w:sz w:val="18"/>
                <w:szCs w:val="18"/>
                <w:rtl w:val="0"/>
              </w:rPr>
              <w:t xml:space="preserve">, </w:t>
            </w:r>
            <w:r w:rsidDel="00000000" w:rsidR="00000000" w:rsidRPr="00000000">
              <w:rPr>
                <w:i w:val="1"/>
                <w:iCs w:val="1"/>
                <w:sz w:val="18"/>
                <w:szCs w:val="18"/>
                <w:rtl w:val="0"/>
              </w:rPr>
              <w:t xml:space="preserve">tend_nped_u3_vs_prev3</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870"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after="20" w:before="20" w:line="259" w:lineRule="auto"/>
              <w:rPr>
                <w:sz w:val="18"/>
                <w:szCs w:val="18"/>
              </w:rPr>
            </w:pPr>
            <w:r w:rsidDel="00000000" w:rsidR="00000000" w:rsidRPr="00000000">
              <w:rPr>
                <w:sz w:val="18"/>
                <w:szCs w:val="18"/>
                <w:rtl w:val="0"/>
              </w:rPr>
              <w:t xml:space="preserve">Delta features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after="20" w:before="20" w:line="259" w:lineRule="auto"/>
              <w:rPr>
                <w:sz w:val="18"/>
                <w:szCs w:val="18"/>
              </w:rPr>
            </w:pPr>
            <w:sdt>
              <w:sdtPr>
                <w:id w:val="-918480316"/>
                <w:tag w:val="goog_rdk_8"/>
              </w:sdtPr>
              <w:sdtContent>
                <w:r w:rsidDel="00000000" w:rsidR="00000000" w:rsidRPr="00000000">
                  <w:rPr>
                    <w:rFonts w:ascii="Gungsuh" w:cs="Gungsuh" w:eastAsia="Gungsuh" w:hAnsi="Gungsuh"/>
                    <w:sz w:val="18"/>
                    <w:szCs w:val="18"/>
                    <w:rtl w:val="0"/>
                  </w:rPr>
                  <w:t xml:space="preserve">Diferencia del mes vigente respecto al mes mt−n, con n ∈ {1, 3, 6, 9, 12}, para monto (</w:t>
                </w:r>
              </w:sdtContent>
            </w:sdt>
            <w:r w:rsidDel="00000000" w:rsidR="00000000" w:rsidRPr="00000000">
              <w:rPr>
                <w:i w:val="1"/>
                <w:iCs w:val="1"/>
                <w:sz w:val="18"/>
                <w:szCs w:val="18"/>
                <w:rtl w:val="0"/>
              </w:rPr>
              <w:t xml:space="preserve">d_monto_m{1,3,6,9,12}</w:t>
            </w:r>
            <w:r w:rsidDel="00000000" w:rsidR="00000000" w:rsidRPr="00000000">
              <w:rPr>
                <w:sz w:val="18"/>
                <w:szCs w:val="18"/>
                <w:rtl w:val="0"/>
              </w:rPr>
              <w:t xml:space="preserve">) y nº de pedidos (</w:t>
            </w:r>
            <w:r w:rsidDel="00000000" w:rsidR="00000000" w:rsidRPr="00000000">
              <w:rPr>
                <w:i w:val="1"/>
                <w:iCs w:val="1"/>
                <w:sz w:val="18"/>
                <w:szCs w:val="18"/>
                <w:rtl w:val="0"/>
              </w:rPr>
              <w:t xml:space="preserve">d_nped_m{1,3,6,9,12}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restart"/>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after="20" w:before="20" w:line="259" w:lineRule="auto"/>
              <w:rPr>
                <w:sz w:val="18"/>
                <w:szCs w:val="18"/>
              </w:rPr>
            </w:pPr>
            <w:r w:rsidDel="00000000" w:rsidR="00000000" w:rsidRPr="00000000">
              <w:rPr>
                <w:sz w:val="18"/>
                <w:szCs w:val="18"/>
                <w:rtl w:val="0"/>
              </w:rPr>
              <w:t xml:space="preserve">Features acumulativas (relación de largo plazo)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after="20" w:before="20" w:line="259" w:lineRule="auto"/>
              <w:rPr>
                <w:sz w:val="18"/>
                <w:szCs w:val="18"/>
              </w:rPr>
            </w:pPr>
            <w:r w:rsidDel="00000000" w:rsidR="00000000" w:rsidRPr="00000000">
              <w:rPr>
                <w:sz w:val="18"/>
                <w:szCs w:val="18"/>
                <w:rtl w:val="0"/>
              </w:rPr>
              <w:t xml:space="preserve">Volumen histórico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after="20" w:before="20" w:line="259" w:lineRule="auto"/>
              <w:rPr>
                <w:sz w:val="18"/>
                <w:szCs w:val="18"/>
              </w:rPr>
            </w:pPr>
            <w:r w:rsidDel="00000000" w:rsidR="00000000" w:rsidRPr="00000000">
              <w:rPr>
                <w:sz w:val="18"/>
                <w:szCs w:val="18"/>
                <w:rtl w:val="0"/>
              </w:rPr>
              <w:t xml:space="preserve">Monto, nº de pedidos y nº de productos acumulados sobre toda la historia hasta t (</w:t>
            </w:r>
            <w:r w:rsidDel="00000000" w:rsidR="00000000" w:rsidRPr="00000000">
              <w:rPr>
                <w:i w:val="1"/>
                <w:iCs w:val="1"/>
                <w:sz w:val="18"/>
                <w:szCs w:val="18"/>
                <w:rtl w:val="0"/>
              </w:rPr>
              <w:t xml:space="preserve">monto_acum</w:t>
            </w:r>
            <w:r w:rsidDel="00000000" w:rsidR="00000000" w:rsidRPr="00000000">
              <w:rPr>
                <w:sz w:val="18"/>
                <w:szCs w:val="18"/>
                <w:rtl w:val="0"/>
              </w:rPr>
              <w:t xml:space="preserve">, </w:t>
            </w:r>
            <w:r w:rsidDel="00000000" w:rsidR="00000000" w:rsidRPr="00000000">
              <w:rPr>
                <w:i w:val="1"/>
                <w:iCs w:val="1"/>
                <w:sz w:val="18"/>
                <w:szCs w:val="18"/>
                <w:rtl w:val="0"/>
              </w:rPr>
              <w:t xml:space="preserve">n_ped_acum</w:t>
            </w:r>
            <w:r w:rsidDel="00000000" w:rsidR="00000000" w:rsidRPr="00000000">
              <w:rPr>
                <w:sz w:val="18"/>
                <w:szCs w:val="18"/>
                <w:rtl w:val="0"/>
              </w:rPr>
              <w:t xml:space="preserve">, </w:t>
            </w:r>
            <w:r w:rsidDel="00000000" w:rsidR="00000000" w:rsidRPr="00000000">
              <w:rPr>
                <w:i w:val="1"/>
                <w:iCs w:val="1"/>
                <w:sz w:val="18"/>
                <w:szCs w:val="18"/>
                <w:rtl w:val="0"/>
              </w:rPr>
              <w:t xml:space="preserve">n_prod_acum</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after="20" w:before="20" w:line="259" w:lineRule="auto"/>
              <w:rPr>
                <w:sz w:val="18"/>
                <w:szCs w:val="18"/>
              </w:rPr>
            </w:pPr>
            <w:r w:rsidDel="00000000" w:rsidR="00000000" w:rsidRPr="00000000">
              <w:rPr>
                <w:sz w:val="18"/>
                <w:szCs w:val="18"/>
                <w:rtl w:val="0"/>
              </w:rPr>
              <w:t xml:space="preserve">Intensidad histórica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after="20" w:before="20" w:line="259" w:lineRule="auto"/>
              <w:rPr>
                <w:sz w:val="18"/>
                <w:szCs w:val="18"/>
              </w:rPr>
            </w:pPr>
            <w:r w:rsidDel="00000000" w:rsidR="00000000" w:rsidRPr="00000000">
              <w:rPr>
                <w:sz w:val="18"/>
                <w:szCs w:val="18"/>
                <w:rtl w:val="0"/>
              </w:rPr>
              <w:t xml:space="preserve">Ticket histórico (</w:t>
            </w:r>
            <w:r w:rsidDel="00000000" w:rsidR="00000000" w:rsidRPr="00000000">
              <w:rPr>
                <w:i w:val="1"/>
                <w:iCs w:val="1"/>
                <w:sz w:val="18"/>
                <w:szCs w:val="18"/>
                <w:rtl w:val="0"/>
              </w:rPr>
              <w:t xml:space="preserve">ticket_acum</w:t>
            </w:r>
            <w:r w:rsidDel="00000000" w:rsidR="00000000" w:rsidRPr="00000000">
              <w:rPr>
                <w:sz w:val="18"/>
                <w:szCs w:val="18"/>
                <w:rtl w:val="0"/>
              </w:rPr>
              <w:t xml:space="preserve">), monto por producto (</w:t>
            </w:r>
            <w:r w:rsidDel="00000000" w:rsidR="00000000" w:rsidRPr="00000000">
              <w:rPr>
                <w:i w:val="1"/>
                <w:iCs w:val="1"/>
                <w:sz w:val="18"/>
                <w:szCs w:val="18"/>
                <w:rtl w:val="0"/>
              </w:rPr>
              <w:t xml:space="preserve">monto_por_prod_acum</w:t>
            </w:r>
            <w:r w:rsidDel="00000000" w:rsidR="00000000" w:rsidRPr="00000000">
              <w:rPr>
                <w:sz w:val="18"/>
                <w:szCs w:val="18"/>
                <w:rtl w:val="0"/>
              </w:rPr>
              <w:t xml:space="preserve">) y monto por mes activo (</w:t>
            </w:r>
            <w:r w:rsidDel="00000000" w:rsidR="00000000" w:rsidRPr="00000000">
              <w:rPr>
                <w:i w:val="1"/>
                <w:iCs w:val="1"/>
                <w:sz w:val="18"/>
                <w:szCs w:val="18"/>
                <w:rtl w:val="0"/>
              </w:rPr>
              <w:t xml:space="preserve">monto_mensual_acum</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885" w:hRule="atLeast"/>
          <w:tblHeader w:val="0"/>
        </w:trPr>
        <w:tc>
          <w:tcPr>
            <w:tcBorders>
              <w:top w:color="000000" w:space="0" w:sz="4"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after="20" w:before="20" w:line="259" w:lineRule="auto"/>
              <w:rPr>
                <w:sz w:val="18"/>
                <w:szCs w:val="18"/>
              </w:rPr>
            </w:pPr>
            <w:r w:rsidDel="00000000" w:rsidR="00000000" w:rsidRPr="00000000">
              <w:rPr>
                <w:sz w:val="18"/>
                <w:szCs w:val="18"/>
                <w:rtl w:val="0"/>
              </w:rPr>
              <w:t xml:space="preserve">Diversidad de producto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after="20" w:before="20" w:line="259" w:lineRule="auto"/>
              <w:rPr>
                <w:sz w:val="18"/>
                <w:szCs w:val="18"/>
              </w:rPr>
            </w:pPr>
            <w:r w:rsidDel="00000000" w:rsidR="00000000" w:rsidRPr="00000000">
              <w:rPr>
                <w:sz w:val="18"/>
                <w:szCs w:val="18"/>
                <w:rtl w:val="0"/>
              </w:rPr>
              <w:t xml:space="preserve">Amplitud de catálogo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after="20" w:before="20" w:line="259" w:lineRule="auto"/>
              <w:rPr>
                <w:sz w:val="18"/>
                <w:szCs w:val="18"/>
              </w:rPr>
            </w:pPr>
            <w:r w:rsidDel="00000000" w:rsidR="00000000" w:rsidRPr="00000000">
              <w:rPr>
                <w:sz w:val="18"/>
                <w:szCs w:val="18"/>
                <w:rtl w:val="0"/>
              </w:rPr>
              <w:t xml:space="preserve">Productos distintos a 12 m (</w:t>
            </w:r>
            <w:r w:rsidDel="00000000" w:rsidR="00000000" w:rsidRPr="00000000">
              <w:rPr>
                <w:i w:val="1"/>
                <w:iCs w:val="1"/>
                <w:sz w:val="18"/>
                <w:szCs w:val="18"/>
                <w:rtl w:val="0"/>
              </w:rPr>
              <w:t xml:space="preserve">n_prod_u12</w:t>
            </w:r>
            <w:r w:rsidDel="00000000" w:rsidR="00000000" w:rsidRPr="00000000">
              <w:rPr>
                <w:sz w:val="18"/>
                <w:szCs w:val="18"/>
                <w:rtl w:val="0"/>
              </w:rPr>
              <w:t xml:space="preserve">); máx. de categorías por mes a 12 m y de por vida (</w:t>
            </w:r>
            <w:r w:rsidDel="00000000" w:rsidR="00000000" w:rsidRPr="00000000">
              <w:rPr>
                <w:i w:val="1"/>
                <w:iCs w:val="1"/>
                <w:sz w:val="18"/>
                <w:szCs w:val="18"/>
                <w:rtl w:val="0"/>
              </w:rPr>
              <w:t xml:space="preserve">n_cat_max_u12</w:t>
            </w:r>
            <w:r w:rsidDel="00000000" w:rsidR="00000000" w:rsidRPr="00000000">
              <w:rPr>
                <w:sz w:val="18"/>
                <w:szCs w:val="18"/>
                <w:rtl w:val="0"/>
              </w:rPr>
              <w:t xml:space="preserve">, </w:t>
            </w:r>
            <w:r w:rsidDel="00000000" w:rsidR="00000000" w:rsidRPr="00000000">
              <w:rPr>
                <w:i w:val="1"/>
                <w:iCs w:val="1"/>
                <w:sz w:val="18"/>
                <w:szCs w:val="18"/>
                <w:rtl w:val="0"/>
              </w:rPr>
              <w:t xml:space="preserve">n_cat_max_acum</w:t>
            </w:r>
            <w:r w:rsidDel="00000000" w:rsidR="00000000" w:rsidRPr="00000000">
              <w:rPr>
                <w:sz w:val="18"/>
                <w:szCs w:val="18"/>
                <w:rtl w:val="0"/>
              </w:rPr>
              <w:t xml:space="preserve">); productos por pedido (</w:t>
            </w:r>
            <w:r w:rsidDel="00000000" w:rsidR="00000000" w:rsidRPr="00000000">
              <w:rPr>
                <w:i w:val="1"/>
                <w:iCs w:val="1"/>
                <w:sz w:val="18"/>
                <w:szCs w:val="18"/>
                <w:rtl w:val="0"/>
              </w:rPr>
              <w:t xml:space="preserve">basket_size_u12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after="20" w:before="20" w:line="259" w:lineRule="auto"/>
              <w:rPr>
                <w:sz w:val="18"/>
                <w:szCs w:val="18"/>
              </w:rPr>
            </w:pPr>
            <w:r w:rsidDel="00000000" w:rsidR="00000000" w:rsidRPr="00000000">
              <w:rPr>
                <w:sz w:val="18"/>
                <w:szCs w:val="18"/>
                <w:rtl w:val="0"/>
              </w:rPr>
              <w:t xml:space="preserve">Datos de pedidos + maestro de productos</w:t>
            </w:r>
          </w:p>
        </w:tc>
      </w:tr>
      <w:tr>
        <w:trPr>
          <w:cantSplit w:val="0"/>
          <w:trHeight w:val="67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20" w:before="20" w:line="259" w:lineRule="auto"/>
              <w:rPr>
                <w:sz w:val="18"/>
                <w:szCs w:val="18"/>
              </w:rPr>
            </w:pPr>
            <w:r w:rsidDel="00000000" w:rsidR="00000000" w:rsidRPr="00000000">
              <w:rPr>
                <w:sz w:val="18"/>
                <w:szCs w:val="18"/>
                <w:rtl w:val="0"/>
              </w:rPr>
              <w:t xml:space="preserve">Antigüedad y contexto (datos maestros)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after="20" w:before="20" w:line="259" w:lineRule="auto"/>
              <w:rPr>
                <w:sz w:val="18"/>
                <w:szCs w:val="18"/>
              </w:rPr>
            </w:pPr>
            <w:r w:rsidDel="00000000" w:rsidR="00000000" w:rsidRPr="00000000">
              <w:rPr>
                <w:sz w:val="18"/>
                <w:szCs w:val="18"/>
                <w:rtl w:val="0"/>
              </w:rPr>
              <w:t xml:space="preserve">Antigüedad de la relación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after="20" w:before="20" w:line="259" w:lineRule="auto"/>
              <w:rPr>
                <w:sz w:val="18"/>
                <w:szCs w:val="18"/>
              </w:rPr>
            </w:pPr>
            <w:r w:rsidDel="00000000" w:rsidR="00000000" w:rsidRPr="00000000">
              <w:rPr>
                <w:sz w:val="18"/>
                <w:szCs w:val="18"/>
                <w:rtl w:val="0"/>
              </w:rPr>
              <w:t xml:space="preserve">Meses desde la fecha de ingreso (</w:t>
            </w:r>
            <w:r w:rsidDel="00000000" w:rsidR="00000000" w:rsidRPr="00000000">
              <w:rPr>
                <w:i w:val="1"/>
                <w:iCs w:val="1"/>
                <w:sz w:val="18"/>
                <w:szCs w:val="18"/>
                <w:rtl w:val="0"/>
              </w:rPr>
              <w:t xml:space="preserve">antiguedad_meses</w:t>
            </w:r>
            <w:r w:rsidDel="00000000" w:rsidR="00000000" w:rsidRPr="00000000">
              <w:rPr>
                <w:sz w:val="18"/>
                <w:szCs w:val="18"/>
                <w:rtl w:val="0"/>
              </w:rPr>
              <w:t xml:space="preserve">); meses activos en todo el historial previo (</w:t>
            </w:r>
            <w:r w:rsidDel="00000000" w:rsidR="00000000" w:rsidRPr="00000000">
              <w:rPr>
                <w:i w:val="1"/>
                <w:iCs w:val="1"/>
                <w:sz w:val="18"/>
                <w:szCs w:val="18"/>
                <w:rtl w:val="0"/>
              </w:rPr>
              <w:t xml:space="preserve">compras_hist</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after="20" w:before="20" w:line="259" w:lineRule="auto"/>
              <w:rPr>
                <w:sz w:val="18"/>
                <w:szCs w:val="18"/>
              </w:rPr>
            </w:pPr>
            <w:r w:rsidDel="00000000" w:rsidR="00000000" w:rsidRPr="00000000">
              <w:rPr>
                <w:sz w:val="18"/>
                <w:szCs w:val="18"/>
                <w:rtl w:val="0"/>
              </w:rPr>
              <w:t xml:space="preserve">Maestro de vendedoras</w:t>
            </w:r>
          </w:p>
        </w:tc>
      </w:tr>
      <w:tr>
        <w:trPr>
          <w:cantSplit w:val="0"/>
          <w:trHeight w:val="66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after="20" w:before="20" w:line="259" w:lineRule="auto"/>
              <w:rPr>
                <w:sz w:val="18"/>
                <w:szCs w:val="18"/>
              </w:rPr>
            </w:pPr>
            <w:r w:rsidDel="00000000" w:rsidR="00000000" w:rsidRPr="00000000">
              <w:rPr>
                <w:sz w:val="18"/>
                <w:szCs w:val="18"/>
                <w:rtl w:val="0"/>
              </w:rPr>
              <w:t xml:space="preserve">Perfil de la vendedora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20" w:before="20" w:line="259" w:lineRule="auto"/>
              <w:rPr>
                <w:sz w:val="18"/>
                <w:szCs w:val="18"/>
              </w:rPr>
            </w:pPr>
            <w:r w:rsidDel="00000000" w:rsidR="00000000" w:rsidRPr="00000000">
              <w:rPr>
                <w:sz w:val="18"/>
                <w:szCs w:val="18"/>
                <w:rtl w:val="0"/>
              </w:rPr>
              <w:t xml:space="preserve">Sexo F/M/OTRO (</w:t>
            </w:r>
            <w:r w:rsidDel="00000000" w:rsidR="00000000" w:rsidRPr="00000000">
              <w:rPr>
                <w:i w:val="1"/>
                <w:iCs w:val="1"/>
                <w:sz w:val="18"/>
                <w:szCs w:val="18"/>
                <w:rtl w:val="0"/>
              </w:rPr>
              <w:t xml:space="preserve">sexo_*</w:t>
            </w:r>
            <w:r w:rsidDel="00000000" w:rsidR="00000000" w:rsidRPr="00000000">
              <w:rPr>
                <w:sz w:val="18"/>
                <w:szCs w:val="18"/>
                <w:rtl w:val="0"/>
              </w:rPr>
              <w:t xml:space="preserve">) y rol comercial Asesora/Líder (</w:t>
            </w:r>
            <w:r w:rsidDel="00000000" w:rsidR="00000000" w:rsidRPr="00000000">
              <w:rPr>
                <w:i w:val="1"/>
                <w:iCs w:val="1"/>
                <w:sz w:val="18"/>
                <w:szCs w:val="18"/>
                <w:rtl w:val="0"/>
              </w:rPr>
              <w:t xml:space="preserve">tipo_vendedor_*</w:t>
            </w:r>
            <w:r w:rsidDel="00000000" w:rsidR="00000000" w:rsidRPr="00000000">
              <w:rPr>
                <w:sz w:val="18"/>
                <w:szCs w:val="18"/>
                <w:rtl w:val="0"/>
              </w:rPr>
              <w:t xml:space="preserve">), codificados one-hot.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after="20" w:before="20" w:line="259" w:lineRule="auto"/>
              <w:rPr>
                <w:sz w:val="18"/>
                <w:szCs w:val="18"/>
              </w:rPr>
            </w:pPr>
            <w:r w:rsidDel="00000000" w:rsidR="00000000" w:rsidRPr="00000000">
              <w:rPr>
                <w:sz w:val="18"/>
                <w:szCs w:val="18"/>
                <w:rtl w:val="0"/>
              </w:rPr>
              <w:t xml:space="preserve">Maestro de vendedoras</w:t>
            </w:r>
          </w:p>
        </w:tc>
      </w:tr>
      <w:tr>
        <w:trPr>
          <w:cantSplit w:val="0"/>
          <w:trHeight w:val="465" w:hRule="atLeast"/>
          <w:tblHeader w:val="0"/>
        </w:trPr>
        <w:tc>
          <w:tcPr>
            <w:vMerge w:val="continue"/>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after="20" w:before="20" w:line="259" w:lineRule="auto"/>
              <w:rPr>
                <w:sz w:val="18"/>
                <w:szCs w:val="18"/>
              </w:rPr>
            </w:pPr>
            <w:r w:rsidDel="00000000" w:rsidR="00000000" w:rsidRPr="00000000">
              <w:rPr>
                <w:sz w:val="18"/>
                <w:szCs w:val="18"/>
                <w:rtl w:val="0"/>
              </w:rPr>
              <w:t xml:space="preserve">Ubicación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after="20" w:before="20" w:line="259" w:lineRule="auto"/>
              <w:rPr>
                <w:sz w:val="18"/>
                <w:szCs w:val="18"/>
              </w:rPr>
            </w:pPr>
            <w:r w:rsidDel="00000000" w:rsidR="00000000" w:rsidRPr="00000000">
              <w:rPr>
                <w:sz w:val="18"/>
                <w:szCs w:val="18"/>
                <w:rtl w:val="0"/>
              </w:rPr>
              <w:t xml:space="preserve">Departamento de operación, codificado one-hot (</w:t>
            </w:r>
            <w:r w:rsidDel="00000000" w:rsidR="00000000" w:rsidRPr="00000000">
              <w:rPr>
                <w:i w:val="1"/>
                <w:iCs w:val="1"/>
                <w:sz w:val="18"/>
                <w:szCs w:val="18"/>
                <w:rtl w:val="0"/>
              </w:rPr>
              <w:t xml:space="preserve">departamento_*</w:t>
            </w: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after="20" w:before="20" w:line="259" w:lineRule="auto"/>
              <w:rPr>
                <w:sz w:val="18"/>
                <w:szCs w:val="18"/>
              </w:rPr>
            </w:pPr>
            <w:r w:rsidDel="00000000" w:rsidR="00000000" w:rsidRPr="00000000">
              <w:rPr>
                <w:sz w:val="18"/>
                <w:szCs w:val="18"/>
                <w:rtl w:val="0"/>
              </w:rPr>
              <w:t xml:space="preserve">Maestro de ubicación</w:t>
            </w:r>
          </w:p>
        </w:tc>
      </w:tr>
    </w:tbl>
    <w:p w:rsidR="00000000" w:rsidDel="00000000" w:rsidP="00000000" w:rsidRDefault="00000000" w:rsidRPr="00000000" w14:paraId="00000176">
      <w:pPr>
        <w:spacing w:after="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 </w:t>
      </w:r>
    </w:p>
    <w:p w:rsidR="00000000" w:rsidDel="00000000" w:rsidP="00000000" w:rsidRDefault="00000000" w:rsidRPr="00000000" w14:paraId="00000177">
      <w:pPr>
        <w:spacing w:after="160" w:line="259" w:lineRule="auto"/>
        <w:rPr>
          <w:rFonts w:ascii="Linux Libertine" w:cs="Linux Libertine" w:eastAsia="Linux Libertine" w:hAnsi="Linux Libertine"/>
        </w:rPr>
      </w:pPr>
      <w:r w:rsidDel="00000000" w:rsidR="00000000" w:rsidRPr="00000000">
        <w:rPr>
          <w:rtl w:val="0"/>
        </w:rPr>
      </w:r>
    </w:p>
    <w:sectPr>
      <w:footerReference r:id="rId23" w:type="first"/>
      <w:footerReference r:id="rId24" w:type="even"/>
      <w:type w:val="nextPage"/>
      <w:pgSz w:h="16838" w:w="11906" w:orient="portrait"/>
      <w:pgMar w:bottom="1440" w:top="1440" w:left="1440" w:right="1134"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Guillermo Escobar Arroyo" w:id="1" w:date="2026-06-04T13:06:05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precisar numero de secciones</w:t>
      </w:r>
    </w:p>
  </w:comment>
  <w:comment w:author="Carlos Guillermo Escobar Arroyo" w:id="0" w:date="2026-06-04T13:06:16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Carlos Guillermo Escobar Arroyo" w:id="2" w:date="2026-06-04T13:06:55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https://journals.plos.org/plosone/article?id=10.1371/journal.pone.0303881</w:t>
      </w:r>
    </w:p>
  </w:comment>
  <w:comment w:author="Carlos Guillermo Escobar Arroyo" w:id="3" w:date="2026-06-04T13:07:00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https://www.sciencedirect.com/science/article/pii/S2666720723001443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2" w15:done="0"/>
  <w15:commentEx w15:paraId="00000183" w15:done="0"/>
  <w15:commentEx w15:paraId="00000184" w15:done="0"/>
  <w15:commentEx w15:paraId="00000185" w15:paraIdParent="0000018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ungsuh"/>
  <w:font w:name="Times New Roman"/>
  <w:font w:name="Arial"/>
  <w:font w:name="Linux Libert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2"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del Trabajo [páginas impares] • 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3"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1"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 • X. Xxxxxx [Inicial del nombre y apellido – Páginas pares]</w:t>
    </w:r>
  </w:p>
  <w:p w:rsidR="00000000" w:rsidDel="00000000" w:rsidP="00000000" w:rsidRDefault="00000000" w:rsidRPr="00000000" w14:paraId="000001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97" w:hanging="397"/>
      <w:jc w:val="both"/>
    </w:pPr>
    <w:rPr>
      <w:b w:val="1"/>
      <w:bCs w:val="1"/>
      <w:sz w:val="22"/>
      <w:szCs w:val="22"/>
    </w:rPr>
  </w:style>
  <w:style w:type="paragraph" w:styleId="Heading2">
    <w:name w:val="heading 2"/>
    <w:basedOn w:val="Normal"/>
    <w:next w:val="Normal"/>
    <w:pPr>
      <w:keepNext w:val="1"/>
      <w:keepLines w:val="1"/>
      <w:ind w:left="397" w:hanging="397"/>
      <w:jc w:val="both"/>
    </w:pPr>
    <w:rPr>
      <w:b w:val="1"/>
      <w:bCs w:val="1"/>
      <w:sz w:val="22"/>
      <w:szCs w:val="22"/>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eader" Target="header2.xml"/><Relationship Id="rId22" Type="http://schemas.openxmlformats.org/officeDocument/2006/relationships/hyperlink" Target="https://gestion.pe/tecnologia/mypes-peruanas-aceleran-uso-de-ia-de-la-ciencia-ficcion-al-asistente-que-ya-trabaja-con-los-emprendedores-los-retos-noticia/" TargetMode="External"/><Relationship Id="rId10" Type="http://schemas.openxmlformats.org/officeDocument/2006/relationships/header" Target="header1.xml"/><Relationship Id="rId21" Type="http://schemas.openxmlformats.org/officeDocument/2006/relationships/hyperlink" Target="https://gestion.pe/tecnologia/mypes-peruanas-aceleran-uso-de-ia-de-la-ciencia-ficcion-al-asistente-que-ya-trabaja-con-los-emprendedores-los-retos-noticia/" TargetMode="External"/><Relationship Id="rId13" Type="http://schemas.openxmlformats.org/officeDocument/2006/relationships/image" Target="media/image7.png"/><Relationship Id="rId24" Type="http://schemas.openxmlformats.org/officeDocument/2006/relationships/footer" Target="footer2.xml"/><Relationship Id="rId12" Type="http://schemas.openxmlformats.org/officeDocument/2006/relationships/header" Target="header3.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tMZN3aL5YWudvobiZ8WE12noQ==">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